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781"/>
        <w:tblW w:w="10602" w:type="dxa"/>
        <w:tblLayout w:type="fixed"/>
        <w:tblLook w:val="04A0"/>
      </w:tblPr>
      <w:tblGrid>
        <w:gridCol w:w="4395"/>
        <w:gridCol w:w="2410"/>
        <w:gridCol w:w="3797"/>
      </w:tblGrid>
      <w:tr w:rsidR="00343010" w:rsidRPr="00D53C0A" w:rsidTr="00343010">
        <w:trPr>
          <w:trHeight w:val="2312"/>
        </w:trPr>
        <w:tc>
          <w:tcPr>
            <w:tcW w:w="4395" w:type="dxa"/>
            <w:shd w:val="clear" w:color="auto" w:fill="auto"/>
          </w:tcPr>
          <w:p w:rsidR="00343010" w:rsidRPr="00D53C0A" w:rsidRDefault="00343010" w:rsidP="00671D63">
            <w:pPr>
              <w:rPr>
                <w:rFonts w:cs="Calibri"/>
                <w:b/>
                <w:sz w:val="18"/>
                <w:szCs w:val="18"/>
              </w:rPr>
            </w:pPr>
            <w:r w:rsidRPr="00D53C0A">
              <w:rPr>
                <w:rFonts w:cs="Calibri"/>
                <w:b/>
                <w:sz w:val="18"/>
                <w:szCs w:val="18"/>
              </w:rPr>
              <w:t>REPUBLIQUE DU TCHAD       UNITE-TRAVAIL-PROGRES</w:t>
            </w:r>
          </w:p>
          <w:p w:rsidR="00343010" w:rsidRPr="00D53C0A" w:rsidRDefault="00343010" w:rsidP="00671D63">
            <w:pPr>
              <w:rPr>
                <w:rFonts w:cs="Calibri"/>
                <w:b/>
                <w:sz w:val="18"/>
                <w:szCs w:val="18"/>
              </w:rPr>
            </w:pPr>
            <w:r w:rsidRPr="00D53C0A">
              <w:rPr>
                <w:rFonts w:cs="Calibri"/>
                <w:b/>
                <w:sz w:val="18"/>
                <w:szCs w:val="18"/>
              </w:rPr>
              <w:t>**********</w:t>
            </w:r>
          </w:p>
          <w:p w:rsidR="00343010" w:rsidRPr="00D53C0A" w:rsidRDefault="00343010" w:rsidP="00671D63">
            <w:pPr>
              <w:rPr>
                <w:rFonts w:cs="Calibri"/>
                <w:b/>
                <w:sz w:val="18"/>
                <w:szCs w:val="18"/>
              </w:rPr>
            </w:pPr>
            <w:r w:rsidRPr="00D53C0A">
              <w:rPr>
                <w:rFonts w:cs="Calibri"/>
                <w:b/>
                <w:sz w:val="18"/>
                <w:szCs w:val="18"/>
              </w:rPr>
              <w:t>PRESIDENCE DE LA REPUBLIQUE</w:t>
            </w:r>
          </w:p>
          <w:p w:rsidR="00343010" w:rsidRPr="00D53C0A" w:rsidRDefault="00343010" w:rsidP="00671D63">
            <w:pPr>
              <w:jc w:val="both"/>
              <w:rPr>
                <w:rFonts w:cs="Calibri"/>
                <w:b/>
                <w:sz w:val="18"/>
                <w:szCs w:val="18"/>
              </w:rPr>
            </w:pPr>
            <w:r w:rsidRPr="00D53C0A">
              <w:rPr>
                <w:rFonts w:cs="Calibri"/>
                <w:b/>
                <w:sz w:val="18"/>
                <w:szCs w:val="18"/>
              </w:rPr>
              <w:t>**********</w:t>
            </w:r>
          </w:p>
          <w:p w:rsidR="00343010" w:rsidRPr="00D53C0A" w:rsidRDefault="00343010" w:rsidP="00671D63">
            <w:pPr>
              <w:jc w:val="both"/>
              <w:rPr>
                <w:rFonts w:cs="Calibri"/>
                <w:b/>
                <w:bCs/>
                <w:sz w:val="18"/>
                <w:szCs w:val="18"/>
                <w:rtl/>
              </w:rPr>
            </w:pPr>
            <w:r w:rsidRPr="00D53C0A">
              <w:rPr>
                <w:rFonts w:cs="Calibri"/>
                <w:b/>
                <w:bCs/>
                <w:sz w:val="18"/>
                <w:szCs w:val="18"/>
              </w:rPr>
              <w:t>MINISTERE DE L’ECONOMIE, DE LA PLANIFICATION DU DEVELOPPEMENT ET DE LA COOPERATION INTERNATIONALE</w:t>
            </w:r>
          </w:p>
          <w:p w:rsidR="00343010" w:rsidRPr="00D53C0A" w:rsidRDefault="00343010" w:rsidP="00671D63">
            <w:pPr>
              <w:jc w:val="both"/>
              <w:rPr>
                <w:rFonts w:cs="Calibri"/>
                <w:b/>
                <w:sz w:val="18"/>
                <w:szCs w:val="18"/>
              </w:rPr>
            </w:pPr>
            <w:r w:rsidRPr="00D53C0A">
              <w:rPr>
                <w:rFonts w:cs="Calibri"/>
                <w:b/>
                <w:sz w:val="18"/>
                <w:szCs w:val="18"/>
              </w:rPr>
              <w:t>**********</w:t>
            </w:r>
          </w:p>
          <w:p w:rsidR="00343010" w:rsidRPr="00D53C0A" w:rsidRDefault="00343010" w:rsidP="00671D63">
            <w:pPr>
              <w:jc w:val="both"/>
              <w:rPr>
                <w:rFonts w:cs="Calibri"/>
                <w:b/>
                <w:sz w:val="18"/>
                <w:szCs w:val="18"/>
              </w:rPr>
            </w:pPr>
            <w:r w:rsidRPr="00D53C0A">
              <w:rPr>
                <w:rFonts w:cs="Calibri"/>
                <w:b/>
                <w:sz w:val="18"/>
                <w:szCs w:val="18"/>
              </w:rPr>
              <w:t>SECRETARIAT D’ETAT</w:t>
            </w:r>
          </w:p>
          <w:p w:rsidR="00343010" w:rsidRPr="00D53C0A" w:rsidRDefault="00343010" w:rsidP="00671D63">
            <w:pPr>
              <w:jc w:val="both"/>
              <w:rPr>
                <w:rFonts w:cs="Calibri"/>
                <w:b/>
                <w:sz w:val="18"/>
                <w:szCs w:val="18"/>
              </w:rPr>
            </w:pPr>
            <w:r w:rsidRPr="00D53C0A">
              <w:rPr>
                <w:rFonts w:cs="Calibri"/>
                <w:b/>
                <w:sz w:val="18"/>
                <w:szCs w:val="18"/>
              </w:rPr>
              <w:t>**********</w:t>
            </w:r>
          </w:p>
          <w:p w:rsidR="00343010" w:rsidRPr="00D53C0A" w:rsidRDefault="00343010" w:rsidP="00671D63">
            <w:pPr>
              <w:jc w:val="both"/>
              <w:rPr>
                <w:rFonts w:cs="Calibri"/>
                <w:b/>
                <w:bCs/>
                <w:sz w:val="18"/>
                <w:szCs w:val="18"/>
              </w:rPr>
            </w:pPr>
            <w:r w:rsidRPr="00D53C0A">
              <w:rPr>
                <w:rFonts w:cs="Calibri"/>
                <w:b/>
                <w:bCs/>
                <w:sz w:val="18"/>
                <w:szCs w:val="18"/>
              </w:rPr>
              <w:t>DIRECTION GENERALE</w:t>
            </w:r>
          </w:p>
          <w:p w:rsidR="00343010" w:rsidRPr="00D53C0A" w:rsidRDefault="00343010" w:rsidP="00671D63">
            <w:pPr>
              <w:jc w:val="both"/>
              <w:rPr>
                <w:rFonts w:cs="Calibri"/>
                <w:b/>
                <w:bCs/>
                <w:sz w:val="18"/>
                <w:szCs w:val="18"/>
              </w:rPr>
            </w:pPr>
            <w:r w:rsidRPr="00D53C0A">
              <w:rPr>
                <w:rFonts w:cs="Calibri"/>
                <w:b/>
                <w:bCs/>
                <w:sz w:val="18"/>
                <w:szCs w:val="18"/>
              </w:rPr>
              <w:t>**********</w:t>
            </w:r>
          </w:p>
          <w:p w:rsidR="00343010" w:rsidRPr="00D53C0A" w:rsidRDefault="00343010" w:rsidP="00671D63">
            <w:pPr>
              <w:rPr>
                <w:b/>
                <w:sz w:val="18"/>
                <w:szCs w:val="18"/>
              </w:rPr>
            </w:pPr>
            <w:r w:rsidRPr="00D53C0A">
              <w:rPr>
                <w:b/>
                <w:sz w:val="18"/>
                <w:szCs w:val="18"/>
              </w:rPr>
              <w:t xml:space="preserve">PROJET POUR l’AUTONOMISATION DES FEMMES ET LE DIVIDENTE DEMOGRAPHIQUE AU SAHEL (SWEDD) </w:t>
            </w:r>
          </w:p>
          <w:p w:rsidR="00343010" w:rsidRPr="00D53C0A" w:rsidRDefault="00343010" w:rsidP="00671D63">
            <w:pPr>
              <w:rPr>
                <w:b/>
                <w:sz w:val="18"/>
                <w:szCs w:val="18"/>
              </w:rPr>
            </w:pPr>
          </w:p>
          <w:p w:rsidR="00343010" w:rsidRPr="00D53C0A" w:rsidRDefault="00343010" w:rsidP="00671D63">
            <w:pPr>
              <w:rPr>
                <w:b/>
                <w:sz w:val="18"/>
                <w:szCs w:val="18"/>
              </w:rPr>
            </w:pPr>
            <w:r w:rsidRPr="00D53C0A">
              <w:rPr>
                <w:rFonts w:cs="Calibri"/>
                <w:b/>
                <w:bCs/>
                <w:sz w:val="18"/>
                <w:szCs w:val="18"/>
              </w:rPr>
              <w:t xml:space="preserve"> </w:t>
            </w:r>
          </w:p>
        </w:tc>
        <w:tc>
          <w:tcPr>
            <w:tcW w:w="2410" w:type="dxa"/>
            <w:shd w:val="clear" w:color="auto" w:fill="auto"/>
          </w:tcPr>
          <w:p w:rsidR="00343010" w:rsidRPr="00D53C0A" w:rsidRDefault="00343010" w:rsidP="00671D63">
            <w:pPr>
              <w:rPr>
                <w:rFonts w:ascii="Century Gothic" w:hAnsi="Century Gothic"/>
                <w:b/>
                <w:sz w:val="18"/>
                <w:szCs w:val="18"/>
              </w:rPr>
            </w:pPr>
            <w:r>
              <w:rPr>
                <w:rFonts w:ascii="Century Gothic" w:hAnsi="Century Gothic"/>
                <w:b/>
                <w:noProof/>
                <w:sz w:val="18"/>
                <w:szCs w:val="18"/>
              </w:rPr>
              <w:drawing>
                <wp:anchor distT="0" distB="0" distL="114300" distR="114300" simplePos="0" relativeHeight="251662336" behindDoc="1" locked="0" layoutInCell="1" allowOverlap="1">
                  <wp:simplePos x="0" y="0"/>
                  <wp:positionH relativeFrom="column">
                    <wp:posOffset>-10160</wp:posOffset>
                  </wp:positionH>
                  <wp:positionV relativeFrom="paragraph">
                    <wp:posOffset>12700</wp:posOffset>
                  </wp:positionV>
                  <wp:extent cx="1377950" cy="837565"/>
                  <wp:effectExtent l="19050" t="19050" r="12700" b="635"/>
                  <wp:wrapNone/>
                  <wp:docPr id="3" name="Image 2" descr="Armoirie T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oirie Tchad"/>
                          <pic:cNvPicPr>
                            <a:picLocks noChangeAspect="1" noChangeArrowheads="1"/>
                          </pic:cNvPicPr>
                        </pic:nvPicPr>
                        <pic:blipFill>
                          <a:blip r:embed="rId11"/>
                          <a:srcRect/>
                          <a:stretch>
                            <a:fillRect/>
                          </a:stretch>
                        </pic:blipFill>
                        <pic:spPr bwMode="auto">
                          <a:xfrm rot="10835056" flipV="1">
                            <a:off x="0" y="0"/>
                            <a:ext cx="1377950" cy="837565"/>
                          </a:xfrm>
                          <a:prstGeom prst="rect">
                            <a:avLst/>
                          </a:prstGeom>
                          <a:noFill/>
                          <a:ln w="9525">
                            <a:noFill/>
                            <a:miter lim="800000"/>
                            <a:headEnd/>
                            <a:tailEnd/>
                          </a:ln>
                        </pic:spPr>
                      </pic:pic>
                    </a:graphicData>
                  </a:graphic>
                </wp:anchor>
              </w:drawing>
            </w:r>
          </w:p>
        </w:tc>
        <w:tc>
          <w:tcPr>
            <w:tcW w:w="3797" w:type="dxa"/>
            <w:shd w:val="clear" w:color="auto" w:fill="auto"/>
          </w:tcPr>
          <w:p w:rsidR="00343010" w:rsidRPr="0004215E" w:rsidRDefault="00343010" w:rsidP="00671D63">
            <w:pPr>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جمهوريــــــــة تشـــــــــاد</w:t>
            </w:r>
            <w:r w:rsidRPr="0004215E">
              <w:rPr>
                <w:rFonts w:ascii="Century Gothic" w:hAnsi="Century Gothic"/>
                <w:b/>
                <w:bCs/>
                <w:color w:val="000000"/>
                <w:sz w:val="18"/>
                <w:szCs w:val="18"/>
              </w:rPr>
              <w:t xml:space="preserve">    </w:t>
            </w:r>
            <w:r w:rsidRPr="0004215E">
              <w:rPr>
                <w:rFonts w:ascii="Century Gothic" w:hAnsi="Century Gothic" w:hint="cs"/>
                <w:b/>
                <w:bCs/>
                <w:color w:val="000000"/>
                <w:sz w:val="18"/>
                <w:szCs w:val="18"/>
                <w:rtl/>
              </w:rPr>
              <w:t>وحدة. عمل. تقدم</w:t>
            </w:r>
          </w:p>
          <w:p w:rsidR="00343010" w:rsidRPr="0004215E" w:rsidRDefault="00343010" w:rsidP="00671D63">
            <w:pPr>
              <w:tabs>
                <w:tab w:val="right" w:pos="4857"/>
              </w:tabs>
              <w:bidi/>
              <w:jc w:val="both"/>
              <w:rPr>
                <w:rFonts w:ascii="Century Gothic" w:hAnsi="Century Gothic"/>
                <w:b/>
                <w:bCs/>
                <w:color w:val="000000"/>
                <w:sz w:val="18"/>
                <w:szCs w:val="18"/>
              </w:rPr>
            </w:pPr>
            <w:r w:rsidRPr="0004215E">
              <w:rPr>
                <w:rFonts w:ascii="Century Gothic" w:hAnsi="Century Gothic"/>
                <w:b/>
                <w:bCs/>
                <w:color w:val="000000"/>
                <w:sz w:val="18"/>
                <w:szCs w:val="18"/>
              </w:rPr>
              <w:t>***********</w:t>
            </w:r>
            <w:r w:rsidRPr="0004215E">
              <w:rPr>
                <w:rFonts w:ascii="Century Gothic" w:hAnsi="Century Gothic"/>
                <w:b/>
                <w:bCs/>
                <w:color w:val="000000"/>
                <w:sz w:val="18"/>
                <w:szCs w:val="18"/>
              </w:rPr>
              <w:tab/>
            </w:r>
          </w:p>
          <w:p w:rsidR="00343010" w:rsidRPr="0004215E" w:rsidRDefault="00343010" w:rsidP="00671D63">
            <w:pPr>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رئاســة الجمهورية</w:t>
            </w:r>
          </w:p>
          <w:p w:rsidR="00343010" w:rsidRPr="0004215E" w:rsidRDefault="00343010" w:rsidP="00671D63">
            <w:pPr>
              <w:bidi/>
              <w:jc w:val="both"/>
              <w:rPr>
                <w:rFonts w:ascii="Century Gothic" w:hAnsi="Century Gothic"/>
                <w:b/>
                <w:bCs/>
                <w:color w:val="000000"/>
                <w:sz w:val="18"/>
                <w:szCs w:val="18"/>
              </w:rPr>
            </w:pPr>
            <w:r w:rsidRPr="0004215E">
              <w:rPr>
                <w:rFonts w:ascii="Century Gothic" w:hAnsi="Century Gothic"/>
                <w:b/>
                <w:bCs/>
                <w:color w:val="000000"/>
                <w:sz w:val="18"/>
                <w:szCs w:val="18"/>
              </w:rPr>
              <w:t>***********</w:t>
            </w:r>
          </w:p>
          <w:p w:rsidR="00343010" w:rsidRPr="0004215E" w:rsidRDefault="00343010" w:rsidP="00671D63">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وزارة الاقتصاد و</w:t>
            </w:r>
            <w:r w:rsidRPr="0004215E">
              <w:rPr>
                <w:rFonts w:ascii="Century Gothic" w:hAnsi="Century Gothic"/>
                <w:b/>
                <w:bCs/>
                <w:color w:val="000000"/>
                <w:sz w:val="18"/>
                <w:szCs w:val="18"/>
              </w:rPr>
              <w:t xml:space="preserve"> </w:t>
            </w:r>
            <w:r w:rsidRPr="0004215E">
              <w:rPr>
                <w:rFonts w:ascii="Century Gothic" w:hAnsi="Century Gothic" w:hint="cs"/>
                <w:b/>
                <w:bCs/>
                <w:color w:val="000000"/>
                <w:sz w:val="18"/>
                <w:szCs w:val="18"/>
                <w:rtl/>
              </w:rPr>
              <w:t>التخطيط التنموي والتعاون الدولي</w:t>
            </w:r>
          </w:p>
          <w:p w:rsidR="00343010" w:rsidRPr="0004215E" w:rsidRDefault="00343010" w:rsidP="00671D63">
            <w:pPr>
              <w:tabs>
                <w:tab w:val="right" w:pos="4857"/>
              </w:tabs>
              <w:bidi/>
              <w:jc w:val="both"/>
              <w:rPr>
                <w:rFonts w:ascii="Century Gothic" w:hAnsi="Century Gothic"/>
                <w:b/>
                <w:bCs/>
                <w:color w:val="000000"/>
                <w:sz w:val="18"/>
                <w:szCs w:val="18"/>
                <w:rtl/>
              </w:rPr>
            </w:pPr>
            <w:r w:rsidRPr="0004215E">
              <w:rPr>
                <w:rFonts w:ascii="Century Gothic" w:hAnsi="Century Gothic"/>
                <w:b/>
                <w:bCs/>
                <w:color w:val="000000"/>
                <w:sz w:val="18"/>
                <w:szCs w:val="18"/>
              </w:rPr>
              <w:t>***********</w:t>
            </w:r>
          </w:p>
          <w:p w:rsidR="00343010" w:rsidRPr="0004215E" w:rsidRDefault="00343010" w:rsidP="00671D63">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أمانة الدولة</w:t>
            </w:r>
          </w:p>
          <w:p w:rsidR="00343010" w:rsidRPr="0004215E" w:rsidRDefault="00343010" w:rsidP="00671D63">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w:t>
            </w:r>
          </w:p>
          <w:p w:rsidR="00343010" w:rsidRPr="0004215E" w:rsidRDefault="00343010" w:rsidP="00671D63">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الإدارة العامة</w:t>
            </w:r>
          </w:p>
          <w:p w:rsidR="00343010" w:rsidRPr="0004215E" w:rsidRDefault="00343010" w:rsidP="00671D63">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w:t>
            </w:r>
          </w:p>
          <w:p w:rsidR="00343010" w:rsidRPr="0004215E" w:rsidRDefault="00343010" w:rsidP="00671D63">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مشروع تمكين المرأة والعائد الديموغرافي</w:t>
            </w:r>
          </w:p>
          <w:p w:rsidR="00343010" w:rsidRPr="0004215E" w:rsidRDefault="00343010" w:rsidP="00671D63">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w:t>
            </w:r>
          </w:p>
          <w:p w:rsidR="00343010" w:rsidRPr="0004215E" w:rsidRDefault="00343010" w:rsidP="00671D63">
            <w:pPr>
              <w:tabs>
                <w:tab w:val="right" w:pos="4857"/>
              </w:tabs>
              <w:bidi/>
              <w:jc w:val="both"/>
              <w:rPr>
                <w:rFonts w:ascii="Century Gothic" w:hAnsi="Century Gothic"/>
                <w:b/>
                <w:bCs/>
                <w:color w:val="000000"/>
                <w:sz w:val="18"/>
                <w:szCs w:val="18"/>
                <w:rtl/>
              </w:rPr>
            </w:pPr>
            <w:r w:rsidRPr="0004215E">
              <w:rPr>
                <w:rFonts w:ascii="Century Gothic" w:hAnsi="Century Gothic" w:hint="cs"/>
                <w:b/>
                <w:bCs/>
                <w:color w:val="000000"/>
                <w:sz w:val="18"/>
                <w:szCs w:val="18"/>
                <w:rtl/>
              </w:rPr>
              <w:t xml:space="preserve">قسم المشتريات </w:t>
            </w:r>
          </w:p>
          <w:p w:rsidR="00343010" w:rsidRPr="0004215E" w:rsidRDefault="00343010" w:rsidP="00671D63">
            <w:pPr>
              <w:pStyle w:val="Corpsdetexte2"/>
              <w:spacing w:after="0" w:line="240" w:lineRule="auto"/>
              <w:rPr>
                <w:rFonts w:ascii="Century Gothic" w:hAnsi="Century Gothic"/>
                <w:bCs/>
                <w:color w:val="000000"/>
                <w:sz w:val="18"/>
                <w:szCs w:val="18"/>
                <w:rtl/>
              </w:rPr>
            </w:pPr>
          </w:p>
          <w:p w:rsidR="00343010" w:rsidRPr="0004215E" w:rsidRDefault="00343010" w:rsidP="00671D63">
            <w:pPr>
              <w:jc w:val="right"/>
              <w:rPr>
                <w:rFonts w:ascii="Century Gothic" w:hAnsi="Century Gothic"/>
                <w:b/>
                <w:bCs/>
                <w:color w:val="000000"/>
                <w:sz w:val="18"/>
                <w:szCs w:val="18"/>
                <w:rtl/>
              </w:rPr>
            </w:pPr>
          </w:p>
          <w:p w:rsidR="00343010" w:rsidRPr="0004215E" w:rsidRDefault="00343010" w:rsidP="00671D63">
            <w:pPr>
              <w:rPr>
                <w:rFonts w:ascii="Century Gothic" w:hAnsi="Century Gothic"/>
                <w:b/>
                <w:bCs/>
                <w:color w:val="000000"/>
                <w:sz w:val="18"/>
                <w:szCs w:val="18"/>
              </w:rPr>
            </w:pPr>
          </w:p>
        </w:tc>
      </w:tr>
    </w:tbl>
    <w:p w:rsidR="000C0C9A" w:rsidRPr="0049797A" w:rsidRDefault="000C0C9A" w:rsidP="000C0C9A">
      <w:pPr>
        <w:rPr>
          <w:rFonts w:ascii="Calisto MT" w:hAnsi="Calisto MT"/>
          <w:b/>
          <w:bCs/>
          <w:sz w:val="18"/>
          <w:szCs w:val="16"/>
        </w:rPr>
      </w:pPr>
    </w:p>
    <w:p w:rsidR="000C0C9A" w:rsidRPr="005460C0" w:rsidRDefault="000C0C9A" w:rsidP="000C0C9A">
      <w:pPr>
        <w:spacing w:line="300" w:lineRule="atLeast"/>
        <w:rPr>
          <w:rFonts w:ascii="Arial" w:hAnsi="Arial" w:cs="Arial"/>
          <w:b/>
          <w:color w:val="222222"/>
          <w:sz w:val="28"/>
          <w:u w:val="single"/>
          <w:lang w:eastAsia="fr-FR"/>
        </w:rPr>
      </w:pPr>
    </w:p>
    <w:p w:rsidR="00FD4EF4" w:rsidRPr="005460C0" w:rsidRDefault="00FD4EF4" w:rsidP="003C42F9">
      <w:pPr>
        <w:spacing w:line="276" w:lineRule="auto"/>
        <w:jc w:val="center"/>
        <w:rPr>
          <w:b/>
          <w:caps/>
          <w:u w:val="single"/>
        </w:rPr>
      </w:pPr>
      <w:r w:rsidRPr="005460C0">
        <w:rPr>
          <w:b/>
          <w:caps/>
          <w:u w:val="single"/>
        </w:rPr>
        <w:t xml:space="preserve">termes de référence pour </w:t>
      </w:r>
      <w:r w:rsidR="00EF40E8" w:rsidRPr="005460C0">
        <w:rPr>
          <w:b/>
          <w:caps/>
          <w:u w:val="single"/>
        </w:rPr>
        <w:t>LE RECRUTEMENT D’UN CABINET D’</w:t>
      </w:r>
      <w:r w:rsidRPr="005460C0">
        <w:rPr>
          <w:b/>
          <w:caps/>
          <w:u w:val="single"/>
        </w:rPr>
        <w:t xml:space="preserve">Audit </w:t>
      </w:r>
      <w:r w:rsidR="00EF40E8" w:rsidRPr="005460C0">
        <w:rPr>
          <w:b/>
          <w:caps/>
          <w:u w:val="single"/>
        </w:rPr>
        <w:t xml:space="preserve">POUR LA REALISATION D’AUDIT DES COMPTES ET </w:t>
      </w:r>
      <w:r w:rsidRPr="005460C0">
        <w:rPr>
          <w:b/>
          <w:caps/>
          <w:u w:val="single"/>
        </w:rPr>
        <w:t xml:space="preserve"> état</w:t>
      </w:r>
      <w:r w:rsidR="00EF40E8" w:rsidRPr="005460C0">
        <w:rPr>
          <w:b/>
          <w:caps/>
          <w:u w:val="single"/>
        </w:rPr>
        <w:t>s financiers annuels dU PROJET SWEDD POUR LES EXERCICES 2020 ET 2021</w:t>
      </w:r>
    </w:p>
    <w:p w:rsidR="00FD4EF4" w:rsidRDefault="00FD4EF4" w:rsidP="00555F0E">
      <w:pPr>
        <w:spacing w:line="276" w:lineRule="auto"/>
        <w:ind w:left="567" w:hanging="567"/>
      </w:pPr>
    </w:p>
    <w:p w:rsidR="005460C0" w:rsidRDefault="005460C0" w:rsidP="00555F0E">
      <w:pPr>
        <w:spacing w:line="276" w:lineRule="auto"/>
        <w:ind w:left="567" w:hanging="567"/>
      </w:pPr>
    </w:p>
    <w:p w:rsidR="00FD4EF4" w:rsidRPr="003C42F9" w:rsidRDefault="00FD4EF4" w:rsidP="00555F0E">
      <w:pPr>
        <w:pStyle w:val="Paragraphedeliste"/>
        <w:numPr>
          <w:ilvl w:val="0"/>
          <w:numId w:val="8"/>
        </w:numPr>
        <w:spacing w:line="276" w:lineRule="auto"/>
        <w:ind w:left="567" w:hanging="567"/>
        <w:rPr>
          <w:b/>
          <w:bCs/>
          <w:szCs w:val="24"/>
          <w:u w:val="single"/>
        </w:rPr>
      </w:pPr>
      <w:r w:rsidRPr="003C42F9">
        <w:rPr>
          <w:b/>
          <w:bCs/>
          <w:szCs w:val="24"/>
          <w:u w:val="single"/>
        </w:rPr>
        <w:t>CONTEXTE GENERAL</w:t>
      </w:r>
    </w:p>
    <w:p w:rsidR="00FD4EF4" w:rsidRDefault="00FD4EF4" w:rsidP="00FD4EF4">
      <w:pPr>
        <w:pStyle w:val="Corpsdetexte"/>
        <w:spacing w:after="0"/>
      </w:pPr>
    </w:p>
    <w:p w:rsidR="00FD6871" w:rsidRDefault="00971870" w:rsidP="0089613C">
      <w:pPr>
        <w:jc w:val="both"/>
        <w:rPr>
          <w:b/>
          <w:szCs w:val="24"/>
        </w:rPr>
      </w:pPr>
      <w:r w:rsidRPr="00733ECA">
        <w:rPr>
          <w:szCs w:val="24"/>
        </w:rPr>
        <w:t xml:space="preserve">Le Gouvernement de la République du Tchad a obtenu de l'Association Internationale de Développement (IDA) un </w:t>
      </w:r>
      <w:r w:rsidR="00722859">
        <w:rPr>
          <w:szCs w:val="24"/>
        </w:rPr>
        <w:t>financement d’un montant de </w:t>
      </w:r>
      <w:r w:rsidR="00F01BD9" w:rsidRPr="00955160">
        <w:rPr>
          <w:b/>
          <w:szCs w:val="24"/>
        </w:rPr>
        <w:t>71</w:t>
      </w:r>
      <w:r w:rsidR="00F63EF5" w:rsidRPr="00955160">
        <w:rPr>
          <w:b/>
          <w:szCs w:val="24"/>
        </w:rPr>
        <w:t>,7</w:t>
      </w:r>
      <w:r w:rsidRPr="00955160">
        <w:rPr>
          <w:b/>
          <w:szCs w:val="24"/>
        </w:rPr>
        <w:t>millions de Dollars</w:t>
      </w:r>
      <w:r w:rsidRPr="00733ECA">
        <w:rPr>
          <w:szCs w:val="24"/>
        </w:rPr>
        <w:t xml:space="preserve"> (</w:t>
      </w:r>
      <w:r w:rsidRPr="00733ECA">
        <w:rPr>
          <w:b/>
          <w:szCs w:val="24"/>
        </w:rPr>
        <w:t>Crédit IDA N°P150080</w:t>
      </w:r>
      <w:r w:rsidR="00722859">
        <w:rPr>
          <w:b/>
          <w:szCs w:val="24"/>
        </w:rPr>
        <w:t xml:space="preserve"> –</w:t>
      </w:r>
      <w:r w:rsidR="00755030">
        <w:rPr>
          <w:b/>
          <w:szCs w:val="24"/>
        </w:rPr>
        <w:t xml:space="preserve"> IDA D-0200</w:t>
      </w:r>
      <w:r w:rsidR="00B93145">
        <w:rPr>
          <w:b/>
          <w:szCs w:val="24"/>
        </w:rPr>
        <w:t>-</w:t>
      </w:r>
      <w:r w:rsidR="00F771E2">
        <w:rPr>
          <w:b/>
          <w:szCs w:val="24"/>
        </w:rPr>
        <w:t>26,7 millions de dollars</w:t>
      </w:r>
      <w:r w:rsidR="007E1D40">
        <w:rPr>
          <w:b/>
          <w:szCs w:val="24"/>
        </w:rPr>
        <w:t xml:space="preserve">, IDA D 5530– 9 millions de dollars, </w:t>
      </w:r>
      <w:r w:rsidR="00F771E2">
        <w:rPr>
          <w:b/>
          <w:szCs w:val="24"/>
        </w:rPr>
        <w:t xml:space="preserve">et </w:t>
      </w:r>
      <w:r w:rsidR="006E78EB">
        <w:rPr>
          <w:b/>
          <w:szCs w:val="24"/>
        </w:rPr>
        <w:t>D6370-</w:t>
      </w:r>
      <w:r w:rsidR="007E1D40">
        <w:rPr>
          <w:b/>
          <w:szCs w:val="24"/>
        </w:rPr>
        <w:t>36 millions de dollars</w:t>
      </w:r>
      <w:r w:rsidRPr="00733ECA">
        <w:rPr>
          <w:b/>
          <w:szCs w:val="24"/>
        </w:rPr>
        <w:t>)</w:t>
      </w:r>
      <w:r w:rsidRPr="00733ECA">
        <w:rPr>
          <w:szCs w:val="24"/>
        </w:rPr>
        <w:t xml:space="preserve"> pour la mise en </w:t>
      </w:r>
      <w:r w:rsidR="00D41FE9" w:rsidRPr="00733ECA">
        <w:rPr>
          <w:szCs w:val="24"/>
        </w:rPr>
        <w:t>œuvre du</w:t>
      </w:r>
      <w:r w:rsidRPr="00733ECA">
        <w:rPr>
          <w:szCs w:val="24"/>
        </w:rPr>
        <w:t xml:space="preserve"> Projet </w:t>
      </w:r>
      <w:r>
        <w:rPr>
          <w:szCs w:val="24"/>
        </w:rPr>
        <w:t>pour l’</w:t>
      </w:r>
      <w:r w:rsidRPr="00733ECA">
        <w:rPr>
          <w:szCs w:val="24"/>
        </w:rPr>
        <w:t xml:space="preserve">Autonomisation des Femmes et </w:t>
      </w:r>
      <w:r>
        <w:rPr>
          <w:szCs w:val="24"/>
        </w:rPr>
        <w:t xml:space="preserve">le </w:t>
      </w:r>
      <w:r w:rsidRPr="00733ECA">
        <w:rPr>
          <w:szCs w:val="24"/>
        </w:rPr>
        <w:t>Dividende Démographique a</w:t>
      </w:r>
      <w:r w:rsidR="00B03348">
        <w:rPr>
          <w:szCs w:val="24"/>
        </w:rPr>
        <w:t>u Sahel (SWEDD), dans les</w:t>
      </w:r>
      <w:r w:rsidR="00A02E9C">
        <w:rPr>
          <w:szCs w:val="24"/>
        </w:rPr>
        <w:t xml:space="preserve"> quatre (04)</w:t>
      </w:r>
      <w:r w:rsidR="00B03348">
        <w:rPr>
          <w:szCs w:val="24"/>
        </w:rPr>
        <w:t xml:space="preserve"> provinces</w:t>
      </w:r>
      <w:r w:rsidRPr="00733ECA">
        <w:rPr>
          <w:szCs w:val="24"/>
        </w:rPr>
        <w:t xml:space="preserve"> ciblées notamment </w:t>
      </w:r>
      <w:r w:rsidRPr="00733ECA">
        <w:rPr>
          <w:b/>
          <w:szCs w:val="24"/>
        </w:rPr>
        <w:t>le Lac , le Kanem, le Hadjer</w:t>
      </w:r>
      <w:r>
        <w:rPr>
          <w:b/>
          <w:szCs w:val="24"/>
        </w:rPr>
        <w:t>L</w:t>
      </w:r>
      <w:r w:rsidR="00CE3E28">
        <w:rPr>
          <w:b/>
          <w:szCs w:val="24"/>
        </w:rPr>
        <w:t>amis,</w:t>
      </w:r>
      <w:r w:rsidRPr="00733ECA">
        <w:rPr>
          <w:b/>
          <w:szCs w:val="24"/>
        </w:rPr>
        <w:t xml:space="preserve"> le Salamat</w:t>
      </w:r>
      <w:r w:rsidR="006F204E">
        <w:rPr>
          <w:b/>
          <w:szCs w:val="24"/>
        </w:rPr>
        <w:t xml:space="preserve">, </w:t>
      </w:r>
      <w:r w:rsidR="001934D8">
        <w:rPr>
          <w:b/>
          <w:szCs w:val="24"/>
        </w:rPr>
        <w:t>à</w:t>
      </w:r>
      <w:r w:rsidR="00FD6871">
        <w:rPr>
          <w:b/>
          <w:szCs w:val="24"/>
        </w:rPr>
        <w:t xml:space="preserve"> la deuxième phase, le projet passe de quatre (04) à douze (12) provinces avec l’inclusion des nouvelles provinces, notamment </w:t>
      </w:r>
      <w:r w:rsidR="006F204E">
        <w:rPr>
          <w:b/>
          <w:szCs w:val="24"/>
        </w:rPr>
        <w:t>la Tandjilé, le Mayo-Kebbi Est, le Mayo Kebbi Ouest, le Chari-Baguirmi, le Batha, le Wadi-Fira, l’Ennedi Est et le Borkou</w:t>
      </w:r>
      <w:r w:rsidRPr="00733ECA">
        <w:rPr>
          <w:b/>
          <w:szCs w:val="24"/>
        </w:rPr>
        <w:t>.</w:t>
      </w:r>
    </w:p>
    <w:p w:rsidR="00971870" w:rsidRPr="00BF1A3D" w:rsidRDefault="00971870" w:rsidP="0089613C">
      <w:pPr>
        <w:jc w:val="both"/>
        <w:rPr>
          <w:szCs w:val="24"/>
        </w:rPr>
      </w:pPr>
      <w:r w:rsidRPr="00733ECA">
        <w:rPr>
          <w:szCs w:val="24"/>
        </w:rPr>
        <w:t>Le Proje</w:t>
      </w:r>
      <w:r w:rsidR="00C562CB">
        <w:rPr>
          <w:szCs w:val="24"/>
        </w:rPr>
        <w:t xml:space="preserve">t est entré en vigueur le </w:t>
      </w:r>
      <w:r w:rsidR="004C0081">
        <w:rPr>
          <w:szCs w:val="24"/>
        </w:rPr>
        <w:t xml:space="preserve">22 mai 2015 pour le don IDA D0200 et le </w:t>
      </w:r>
      <w:r w:rsidR="00C562CB">
        <w:rPr>
          <w:szCs w:val="24"/>
        </w:rPr>
        <w:t>11 Mars 2020</w:t>
      </w:r>
      <w:r w:rsidR="004C0081">
        <w:rPr>
          <w:szCs w:val="24"/>
        </w:rPr>
        <w:t xml:space="preserve"> pour le don IDA D 5530</w:t>
      </w:r>
      <w:r w:rsidR="007E1D40">
        <w:rPr>
          <w:szCs w:val="24"/>
        </w:rPr>
        <w:t xml:space="preserve"> et le 12 aout 2020 pour le don IDA D6370</w:t>
      </w:r>
    </w:p>
    <w:p w:rsidR="00FD6871" w:rsidRDefault="00971870" w:rsidP="0089613C">
      <w:pPr>
        <w:tabs>
          <w:tab w:val="left" w:pos="3090"/>
        </w:tabs>
        <w:jc w:val="both"/>
        <w:rPr>
          <w:szCs w:val="24"/>
        </w:rPr>
      </w:pPr>
      <w:r w:rsidRPr="00733ECA">
        <w:rPr>
          <w:szCs w:val="24"/>
        </w:rPr>
        <w:t xml:space="preserve">Le projet pour l’Autonomisation des Femmes et </w:t>
      </w:r>
      <w:r>
        <w:rPr>
          <w:szCs w:val="24"/>
        </w:rPr>
        <w:t xml:space="preserve">le </w:t>
      </w:r>
      <w:r w:rsidRPr="00733ECA">
        <w:rPr>
          <w:szCs w:val="24"/>
        </w:rPr>
        <w:t>Dividende Démographique au Sahel (</w:t>
      </w:r>
      <w:r w:rsidRPr="00733ECA">
        <w:rPr>
          <w:b/>
          <w:szCs w:val="24"/>
        </w:rPr>
        <w:t>SWEDD</w:t>
      </w:r>
      <w:r w:rsidRPr="00733ECA">
        <w:rPr>
          <w:szCs w:val="24"/>
        </w:rPr>
        <w:t xml:space="preserve">) est un projet d’ampleur régionale regroupant six pays (Burkina Faso, Côte d’Ivoire, Mali, Niger, Mauritanie et </w:t>
      </w:r>
      <w:r w:rsidR="00FE2B1D">
        <w:rPr>
          <w:szCs w:val="24"/>
        </w:rPr>
        <w:t xml:space="preserve">le </w:t>
      </w:r>
      <w:r w:rsidRPr="00733ECA">
        <w:rPr>
          <w:szCs w:val="24"/>
        </w:rPr>
        <w:t xml:space="preserve">Tchad).  </w:t>
      </w:r>
    </w:p>
    <w:p w:rsidR="00746F2A" w:rsidRDefault="00746F2A" w:rsidP="0089613C">
      <w:pPr>
        <w:tabs>
          <w:tab w:val="left" w:pos="3090"/>
        </w:tabs>
        <w:jc w:val="both"/>
        <w:rPr>
          <w:szCs w:val="24"/>
        </w:rPr>
      </w:pPr>
    </w:p>
    <w:p w:rsidR="00A66ACF" w:rsidRDefault="00971870" w:rsidP="0089613C">
      <w:pPr>
        <w:tabs>
          <w:tab w:val="left" w:pos="3090"/>
        </w:tabs>
        <w:jc w:val="both"/>
        <w:rPr>
          <w:szCs w:val="24"/>
        </w:rPr>
      </w:pPr>
      <w:r w:rsidRPr="00733ECA">
        <w:rPr>
          <w:szCs w:val="24"/>
        </w:rPr>
        <w:t xml:space="preserve">Le Projet a pour </w:t>
      </w:r>
      <w:r w:rsidR="00D41FE9" w:rsidRPr="00733ECA">
        <w:rPr>
          <w:szCs w:val="24"/>
        </w:rPr>
        <w:t>objectif d’améliorer</w:t>
      </w:r>
      <w:r w:rsidRPr="00733ECA">
        <w:rPr>
          <w:szCs w:val="24"/>
        </w:rPr>
        <w:t xml:space="preserve"> le niveau d’autonomisation des femmes et des adolescentes et leur permettre d’accéder plus facilement aux services de Santé  reproductive, maternelle, néonatale, infantile et nutritionnelle (SRMNIN) et d’accroitre la génération et le partage des connaissances. Les interventions proposées par ce projet sont articulées autour de trois composantes principales :</w:t>
      </w:r>
    </w:p>
    <w:p w:rsidR="00A66ACF" w:rsidRDefault="00B22AC5" w:rsidP="0089613C">
      <w:pPr>
        <w:tabs>
          <w:tab w:val="left" w:pos="3090"/>
        </w:tabs>
        <w:jc w:val="both"/>
        <w:rPr>
          <w:szCs w:val="24"/>
        </w:rPr>
      </w:pPr>
      <w:r w:rsidRPr="0089613C">
        <w:rPr>
          <w:b/>
          <w:i/>
          <w:szCs w:val="24"/>
        </w:rPr>
        <w:t>La composante 1</w:t>
      </w:r>
      <w:r w:rsidRPr="00A66ACF">
        <w:rPr>
          <w:b/>
          <w:szCs w:val="24"/>
        </w:rPr>
        <w:t xml:space="preserve"> :</w:t>
      </w:r>
      <w:r w:rsidRPr="00A66ACF">
        <w:rPr>
          <w:szCs w:val="24"/>
        </w:rPr>
        <w:t xml:space="preserve"> Générer la demande pour les services de santé reproductive, maternelle, néonatale, infantile et nutritionnelle en favorisant les changements sociaux et comportementaux et l'autonomisation des femmes et des filles</w:t>
      </w:r>
      <w:r w:rsidR="00A66ACF">
        <w:rPr>
          <w:szCs w:val="24"/>
        </w:rPr>
        <w:t> ;</w:t>
      </w:r>
    </w:p>
    <w:p w:rsidR="00B22AC5" w:rsidRDefault="00B22AC5" w:rsidP="0089613C">
      <w:pPr>
        <w:tabs>
          <w:tab w:val="left" w:pos="3090"/>
        </w:tabs>
        <w:jc w:val="both"/>
        <w:rPr>
          <w:szCs w:val="24"/>
        </w:rPr>
      </w:pPr>
      <w:r w:rsidRPr="00A66ACF">
        <w:rPr>
          <w:b/>
          <w:i/>
          <w:szCs w:val="24"/>
        </w:rPr>
        <w:t>La composante 2</w:t>
      </w:r>
      <w:r w:rsidRPr="00A66ACF">
        <w:rPr>
          <w:b/>
          <w:szCs w:val="24"/>
        </w:rPr>
        <w:t xml:space="preserve"> :</w:t>
      </w:r>
      <w:r w:rsidRPr="00B22AC5">
        <w:rPr>
          <w:szCs w:val="24"/>
        </w:rPr>
        <w:t xml:space="preserve"> Renforcerles capacités régionales pour la mise à disposition des produits de santé reproductive, maternelle, néonatale, infantile et nutritionnelle (SRMNIN) et de personnel qualifié ;</w:t>
      </w:r>
    </w:p>
    <w:p w:rsidR="00B22AC5" w:rsidRPr="00733ECA" w:rsidRDefault="00B22AC5" w:rsidP="0089613C">
      <w:pPr>
        <w:tabs>
          <w:tab w:val="left" w:pos="3090"/>
        </w:tabs>
        <w:jc w:val="both"/>
        <w:rPr>
          <w:szCs w:val="24"/>
        </w:rPr>
      </w:pPr>
      <w:r w:rsidRPr="00A66ACF">
        <w:rPr>
          <w:b/>
          <w:i/>
          <w:szCs w:val="24"/>
        </w:rPr>
        <w:lastRenderedPageBreak/>
        <w:t>La composante 3</w:t>
      </w:r>
      <w:r w:rsidRPr="00A66ACF">
        <w:rPr>
          <w:b/>
          <w:szCs w:val="24"/>
        </w:rPr>
        <w:t> :</w:t>
      </w:r>
      <w:r w:rsidRPr="00A66ACF">
        <w:rPr>
          <w:szCs w:val="24"/>
        </w:rPr>
        <w:t xml:space="preserve"> Favoriser l’engagement politique et renforcer la capacité d’élaboration des politiques liées au dividende démographique et la mise en œuvre du Projet.</w:t>
      </w:r>
    </w:p>
    <w:p w:rsidR="007D0E0F" w:rsidRDefault="007D0E0F" w:rsidP="0089613C">
      <w:pPr>
        <w:tabs>
          <w:tab w:val="left" w:pos="3090"/>
        </w:tabs>
        <w:jc w:val="both"/>
        <w:rPr>
          <w:szCs w:val="24"/>
        </w:rPr>
      </w:pPr>
    </w:p>
    <w:p w:rsidR="00EA66C9" w:rsidRPr="007D0E0F" w:rsidRDefault="00EA66C9" w:rsidP="0089613C">
      <w:pPr>
        <w:jc w:val="both"/>
        <w:rPr>
          <w:b/>
          <w:szCs w:val="24"/>
        </w:rPr>
      </w:pPr>
      <w:r w:rsidRPr="007D0E0F">
        <w:rPr>
          <w:b/>
          <w:szCs w:val="24"/>
        </w:rPr>
        <w:t>Les activités suivantes seront financées par chacune de ces composantes :</w:t>
      </w:r>
    </w:p>
    <w:p w:rsidR="00DE617E" w:rsidRPr="00B036F3" w:rsidRDefault="00DE617E" w:rsidP="0089613C">
      <w:pPr>
        <w:jc w:val="both"/>
        <w:rPr>
          <w:szCs w:val="24"/>
        </w:rPr>
      </w:pPr>
      <w:r w:rsidRPr="007D0E0F">
        <w:rPr>
          <w:b/>
          <w:szCs w:val="24"/>
        </w:rPr>
        <w:t>Composante 1:</w:t>
      </w:r>
      <w:r w:rsidR="007A1F5C" w:rsidRPr="00B036F3">
        <w:rPr>
          <w:szCs w:val="24"/>
        </w:rPr>
        <w:t>Recrutement des ONG pour la mise en œuvre des activités des sous projet, Acquisition des denrées alimentaires au profit des filles vulnérables, Confection et livraison des uniformes scolaires au profit des filles vulnérables, Acquisition des moyens roulants et des motocyclettes tout terrain au profit des ONG de mise en œuvre, l'ONDD et du MPJSE, Acquisition des kits scolaires au profit des filles vulnérables, Acquisition des équipements divers (matériels didactiques, des table bancs etc.) au profit des 48 centres d’alphabétisation, Acquisition des kits AGR  et équipements des clubs des maris au profit de 2000 jeunes filles, des moulins, des moulins à arachides, des machines à transformation du mais en couscous, etc. au profit des groupements, Acquisition au profit de 50 groupements féminins des tracteurs, charrues, motopompes, équipement des forages solaires, etc. au profit des groupements de jeunes filles et femmes, Acquisition des mobiliers de bureau, Acquisition des équipements pour les centres d'accueil, Acquisition des kits d'installation pour les 12 provinces soit 1200 bénéficiaires, Acquisition des matériels pour les espaces sûrs au profit de la DPEF et SR, Acquisition des matériels et consommables informatiques au profit du Genre, de la DPEF et du MPJSE (vidéoprojecteur,appareil photo numérique ordinateurs portables+ accessoires+ consommables informatiques+ chevaliers), Acquisition des supports de visibilité au profit de la DPEF, SR et MPJSE, Recrutement d'un Consultant pour réaliser une étude sur les créneaux porteurs et les potentialités existantes, Acquisition des matériels au profit des structures ciblées dans la ZIP, Reproduire en en 2000 exemplaires des livrets 1 et 2 des espaces sûrs au profit de la SR et de la DPEF, Acquisition des kits hygiènes au profit des filles vulnérables, Recrutement d'un Consultant pour élaborer un référentiel de formation, Reproduire en 1000 exemplaires les boites à image sur les compétences de vie en arabe ;</w:t>
      </w:r>
    </w:p>
    <w:p w:rsidR="007A1F5C" w:rsidRPr="00B036F3" w:rsidRDefault="007A1F5C" w:rsidP="0089613C">
      <w:pPr>
        <w:jc w:val="both"/>
        <w:rPr>
          <w:szCs w:val="24"/>
        </w:rPr>
      </w:pPr>
      <w:r w:rsidRPr="007D0E0F">
        <w:rPr>
          <w:b/>
          <w:szCs w:val="24"/>
        </w:rPr>
        <w:t>Composante 2 :</w:t>
      </w:r>
      <w:r w:rsidR="00431189" w:rsidRPr="00B036F3">
        <w:rPr>
          <w:szCs w:val="24"/>
        </w:rPr>
        <w:t>Acquisition des équipements contrôle de qualité des préservatifs, Acquisition des matériels informatiques (ondulaires et accessoires) pour sécuriser les équipements existants, Acquisition des armoires métalliques pour la conservation des réactifs de LNCQM, Recrutement d'un Consultant national pour la formation des acteurs du niveau central (DPMP, CPA et PPA) en management et leadership, Recrutement d’un Consultant pour l'élaboration d'un plan stratégique national contrôle de qualité des médicaments, Acquisition des fournitures et consommables de bureau (chevalet, papier conférence, marqueur, subsistances etc) pour le fonctionnement du  LNCQM, Recrutement d'un Consultant pour élaborer un document sur les Bonnes Pratiques de Distribution (BPD) , Confection et livraison des 100 blouses avec pantalons au profit des sages-femmes recrutées par le projet SWEDD et Acquisition des matériels de protection (lunette de protection, chaussure médicale, tablier en plastique, cache nez) des sages-femmes recrutées par le projet SWEDD, Recruter 15 sages-femmes et 4 enseignantes les redéployer dans la ZIP et dans les écoles soutenues par le projet Assurer la connexion internet des ERSAS, Acquisition des instruments pour les salles d’accouchement de site de stage et les structures de la ZIP  (boites d’accouchement et seringue d’amiu) ;</w:t>
      </w:r>
    </w:p>
    <w:p w:rsidR="00431189" w:rsidRPr="00B036F3" w:rsidRDefault="00431189" w:rsidP="0089613C">
      <w:pPr>
        <w:jc w:val="both"/>
        <w:rPr>
          <w:szCs w:val="24"/>
        </w:rPr>
      </w:pPr>
      <w:r w:rsidRPr="007D0E0F">
        <w:rPr>
          <w:b/>
          <w:szCs w:val="24"/>
        </w:rPr>
        <w:t>Composante 3 :</w:t>
      </w:r>
      <w:r w:rsidRPr="00B036F3">
        <w:rPr>
          <w:szCs w:val="24"/>
        </w:rPr>
        <w:t xml:space="preserve">Recrutement d'un Consultant pour réaliser l'enquête budget temps,Recrutement d'un cabinet pour l'évaluation d'impact,Reproduction en 100 exemplaires des rapports dimensions, des pôles, le rapport national, les rapports profils pays, les policybriefs et la reproduction en 50 exemplaires des 23 monographies provinciales,Recrutement d'un Consultant pour réaliser les études spécifiques,Acquisition des Matériels informatiques, bureautiques et </w:t>
      </w:r>
      <w:r w:rsidRPr="00B036F3">
        <w:rPr>
          <w:szCs w:val="24"/>
        </w:rPr>
        <w:lastRenderedPageBreak/>
        <w:t>mobiliers de bureau au profit de l'ONDD et de l'UGP,Acquisition des fournitures et consommables de bureau au profit de l'ONDD et de l'UGP,Contractualisation avec une agence immobilière pour locaux devant abriter l'UGP,Recruter un consultant pour le paramétrage du logiciel Tompro,Contractualiser avec une agence pour la connexion internet de l'UGP,</w:t>
      </w:r>
    </w:p>
    <w:p w:rsidR="00431189" w:rsidRPr="00B036F3" w:rsidRDefault="00431189" w:rsidP="0089613C">
      <w:pPr>
        <w:jc w:val="both"/>
        <w:rPr>
          <w:szCs w:val="24"/>
        </w:rPr>
      </w:pPr>
      <w:r w:rsidRPr="00B036F3">
        <w:rPr>
          <w:szCs w:val="24"/>
        </w:rPr>
        <w:t>Acquisition des mobiliers de bureau, Recrutement d'un Consultant pour réaliser l'audit comptable et financier du projet SWEDD - Exercice 2020-2021, Recrutement d'un consultant national pour la mise en place d'une application de base de données,</w:t>
      </w:r>
    </w:p>
    <w:p w:rsidR="00EA66C9" w:rsidRPr="00B036F3" w:rsidRDefault="00431189" w:rsidP="0089613C">
      <w:pPr>
        <w:jc w:val="both"/>
        <w:rPr>
          <w:szCs w:val="24"/>
        </w:rPr>
      </w:pPr>
      <w:r w:rsidRPr="00B036F3">
        <w:rPr>
          <w:szCs w:val="24"/>
        </w:rPr>
        <w:t>Contractualisation avec une agence privée de sécurité pour sécuriser les locaux du projet,Recrutement d'un Prestataire pour traduire les documents de plaidoyer en Arabe et autres langues locales,Recrutement d'un consultant pour la mise à jour du Manuel de procédures,Contractualisation avec une agence d'entretien des locaux de l'UGP.</w:t>
      </w:r>
    </w:p>
    <w:p w:rsidR="00971870" w:rsidRDefault="00971870" w:rsidP="0089613C">
      <w:pPr>
        <w:jc w:val="both"/>
        <w:rPr>
          <w:szCs w:val="24"/>
        </w:rPr>
      </w:pPr>
      <w:r w:rsidRPr="00733ECA">
        <w:rPr>
          <w:szCs w:val="24"/>
        </w:rPr>
        <w:t xml:space="preserve">Le projet a l'intention d'utiliser une partie de ce financement pour effectuer les paiements au titre du contrat </w:t>
      </w:r>
      <w:r>
        <w:rPr>
          <w:szCs w:val="24"/>
        </w:rPr>
        <w:t>d’un Cabinet chargé de</w:t>
      </w:r>
      <w:r w:rsidRPr="00E918AA">
        <w:rPr>
          <w:bCs/>
          <w:szCs w:val="24"/>
        </w:rPr>
        <w:t xml:space="preserve">conduire </w:t>
      </w:r>
      <w:r w:rsidRPr="00E918AA">
        <w:rPr>
          <w:szCs w:val="24"/>
        </w:rPr>
        <w:t>l’audit financier et comptable</w:t>
      </w:r>
      <w:r w:rsidRPr="00E83E18">
        <w:rPr>
          <w:szCs w:val="24"/>
        </w:rPr>
        <w:t>du</w:t>
      </w:r>
      <w:r w:rsidRPr="00733ECA">
        <w:rPr>
          <w:szCs w:val="24"/>
        </w:rPr>
        <w:t xml:space="preserve">projet pour l’Autonomisation des Femmes et </w:t>
      </w:r>
      <w:r>
        <w:rPr>
          <w:szCs w:val="24"/>
        </w:rPr>
        <w:t xml:space="preserve">le </w:t>
      </w:r>
      <w:r w:rsidRPr="00733ECA">
        <w:rPr>
          <w:szCs w:val="24"/>
        </w:rPr>
        <w:t>Dividende Démographique au Sahel (</w:t>
      </w:r>
      <w:r w:rsidRPr="00733ECA">
        <w:rPr>
          <w:b/>
          <w:szCs w:val="24"/>
        </w:rPr>
        <w:t>SWEDD</w:t>
      </w:r>
      <w:r>
        <w:rPr>
          <w:szCs w:val="24"/>
        </w:rPr>
        <w:t>), exercice</w:t>
      </w:r>
      <w:r w:rsidR="00722859">
        <w:rPr>
          <w:szCs w:val="24"/>
        </w:rPr>
        <w:t>s 2020 et 2021</w:t>
      </w:r>
      <w:r w:rsidRPr="00733ECA">
        <w:rPr>
          <w:szCs w:val="24"/>
        </w:rPr>
        <w:t>.</w:t>
      </w:r>
    </w:p>
    <w:p w:rsidR="002C05CA" w:rsidRPr="00733ECA" w:rsidRDefault="0089613C" w:rsidP="0089613C">
      <w:pPr>
        <w:tabs>
          <w:tab w:val="left" w:pos="6020"/>
        </w:tabs>
        <w:jc w:val="both"/>
        <w:rPr>
          <w:szCs w:val="24"/>
        </w:rPr>
      </w:pPr>
      <w:r>
        <w:rPr>
          <w:szCs w:val="24"/>
        </w:rPr>
        <w:tab/>
      </w:r>
    </w:p>
    <w:p w:rsidR="00971870" w:rsidRDefault="00971870" w:rsidP="0089613C">
      <w:pPr>
        <w:jc w:val="both"/>
        <w:rPr>
          <w:szCs w:val="24"/>
        </w:rPr>
      </w:pPr>
      <w:r w:rsidRPr="00733ECA">
        <w:rPr>
          <w:szCs w:val="24"/>
        </w:rPr>
        <w:t>L’audit des états financiers, objet de la présente mission</w:t>
      </w:r>
      <w:r w:rsidR="00722859">
        <w:rPr>
          <w:szCs w:val="24"/>
        </w:rPr>
        <w:t xml:space="preserve"> couvrira les exercices</w:t>
      </w:r>
      <w:r w:rsidR="00BB619E">
        <w:rPr>
          <w:szCs w:val="24"/>
        </w:rPr>
        <w:t xml:space="preserve"> 2020 </w:t>
      </w:r>
      <w:r w:rsidR="008B5437">
        <w:rPr>
          <w:szCs w:val="24"/>
        </w:rPr>
        <w:t xml:space="preserve">pour les dons IDA D0200 et D5530 </w:t>
      </w:r>
      <w:r w:rsidR="00BB619E">
        <w:rPr>
          <w:szCs w:val="24"/>
        </w:rPr>
        <w:t>et 2021</w:t>
      </w:r>
      <w:r w:rsidR="008B5437">
        <w:rPr>
          <w:szCs w:val="24"/>
        </w:rPr>
        <w:t xml:space="preserve"> pour les dons IDA D5530 et D6370</w:t>
      </w:r>
      <w:r w:rsidRPr="00733ECA">
        <w:rPr>
          <w:szCs w:val="24"/>
        </w:rPr>
        <w:t>., avec les dates-butoir de soumission des rapports d’audit à la Banque mondiale :</w:t>
      </w:r>
      <w:r w:rsidR="0054276B">
        <w:rPr>
          <w:b/>
          <w:szCs w:val="24"/>
        </w:rPr>
        <w:t>l</w:t>
      </w:r>
      <w:r w:rsidR="0054276B" w:rsidRPr="00733ECA">
        <w:rPr>
          <w:b/>
          <w:szCs w:val="24"/>
        </w:rPr>
        <w:t>e rapp</w:t>
      </w:r>
      <w:r w:rsidR="00722859">
        <w:rPr>
          <w:b/>
          <w:szCs w:val="24"/>
        </w:rPr>
        <w:t>ort d’audit est dû au plus tard le 30 juin de l’exercice suivant.</w:t>
      </w:r>
    </w:p>
    <w:p w:rsidR="0054276B" w:rsidRPr="00733ECA" w:rsidRDefault="0054276B" w:rsidP="0089613C">
      <w:pPr>
        <w:jc w:val="both"/>
        <w:rPr>
          <w:szCs w:val="24"/>
        </w:rPr>
      </w:pPr>
    </w:p>
    <w:p w:rsidR="0054276B" w:rsidRPr="00FD4EF4" w:rsidRDefault="0054276B" w:rsidP="0089613C">
      <w:pPr>
        <w:pStyle w:val="Corpsdetexte"/>
        <w:spacing w:after="0"/>
        <w:rPr>
          <w:b/>
          <w:bCs/>
          <w:sz w:val="28"/>
          <w:szCs w:val="24"/>
          <w:u w:val="single"/>
        </w:rPr>
      </w:pPr>
    </w:p>
    <w:p w:rsidR="00555F0E" w:rsidRPr="003C42F9" w:rsidRDefault="00555F0E" w:rsidP="0089613C">
      <w:pPr>
        <w:pStyle w:val="Paragraphedeliste"/>
        <w:numPr>
          <w:ilvl w:val="0"/>
          <w:numId w:val="8"/>
        </w:numPr>
        <w:spacing w:line="276" w:lineRule="auto"/>
        <w:ind w:left="567" w:hanging="567"/>
        <w:jc w:val="both"/>
        <w:rPr>
          <w:b/>
          <w:bCs/>
          <w:szCs w:val="24"/>
          <w:u w:val="single"/>
        </w:rPr>
      </w:pPr>
      <w:r w:rsidRPr="003C42F9">
        <w:rPr>
          <w:b/>
          <w:bCs/>
          <w:szCs w:val="24"/>
          <w:u w:val="single"/>
        </w:rPr>
        <w:t>OBJECTIF DE L’AUDIT DU PROJET</w:t>
      </w:r>
    </w:p>
    <w:p w:rsidR="00555F0E" w:rsidRPr="00E5598F" w:rsidRDefault="00555F0E" w:rsidP="0089613C">
      <w:pPr>
        <w:pStyle w:val="Corpsdetexte"/>
        <w:spacing w:after="0"/>
        <w:rPr>
          <w:szCs w:val="24"/>
        </w:rPr>
      </w:pPr>
    </w:p>
    <w:p w:rsidR="0047075B" w:rsidRPr="0054276B" w:rsidRDefault="00555F0E" w:rsidP="0089613C">
      <w:pPr>
        <w:pStyle w:val="Corpsdetexte"/>
        <w:spacing w:after="0"/>
        <w:rPr>
          <w:b/>
          <w:szCs w:val="24"/>
        </w:rPr>
      </w:pPr>
      <w:r w:rsidRPr="007E3805">
        <w:t xml:space="preserve">L’objectif de </w:t>
      </w:r>
      <w:r w:rsidR="003C42F9">
        <w:t>l</w:t>
      </w:r>
      <w:r w:rsidR="003C42F9" w:rsidRPr="003C42F9">
        <w:t xml:space="preserve">’audit des états financiers du </w:t>
      </w:r>
      <w:r w:rsidR="001614D3">
        <w:t>P</w:t>
      </w:r>
      <w:r w:rsidR="003C42F9" w:rsidRPr="003C42F9">
        <w:t xml:space="preserve">rojet </w:t>
      </w:r>
      <w:r w:rsidRPr="007E3805">
        <w:t xml:space="preserve">est </w:t>
      </w:r>
      <w:r>
        <w:t>de</w:t>
      </w:r>
      <w:r w:rsidRPr="007E3805">
        <w:t xml:space="preserve"> permettre </w:t>
      </w:r>
      <w:r w:rsidR="003C42F9">
        <w:t xml:space="preserve">à l’auditeur </w:t>
      </w:r>
      <w:r w:rsidRPr="007E3805">
        <w:t xml:space="preserve">d’exprimer une opinion professionnelle sur la situation financière du Projet </w:t>
      </w:r>
      <w:r w:rsidR="00722859">
        <w:rPr>
          <w:b/>
          <w:szCs w:val="24"/>
        </w:rPr>
        <w:t>au 31 décembre</w:t>
      </w:r>
      <w:r w:rsidR="00B978C2">
        <w:rPr>
          <w:b/>
          <w:szCs w:val="24"/>
        </w:rPr>
        <w:t xml:space="preserve"> 2020 et </w:t>
      </w:r>
      <w:r w:rsidR="00FD3C65">
        <w:rPr>
          <w:b/>
          <w:szCs w:val="24"/>
        </w:rPr>
        <w:t xml:space="preserve">au </w:t>
      </w:r>
      <w:r w:rsidR="00B978C2">
        <w:rPr>
          <w:b/>
          <w:szCs w:val="24"/>
        </w:rPr>
        <w:t>31 décembre 2021</w:t>
      </w:r>
      <w:r w:rsidR="0054276B">
        <w:rPr>
          <w:b/>
          <w:szCs w:val="24"/>
        </w:rPr>
        <w:t xml:space="preserve">, </w:t>
      </w:r>
      <w:r w:rsidR="003C42F9" w:rsidRPr="00EC19FE">
        <w:t>ain</w:t>
      </w:r>
      <w:r w:rsidR="00EC19FE">
        <w:t>s</w:t>
      </w:r>
      <w:r w:rsidR="003C42F9" w:rsidRPr="00EC19FE">
        <w:t>i</w:t>
      </w:r>
      <w:r w:rsidR="00EC19FE">
        <w:t xml:space="preserve">que </w:t>
      </w:r>
      <w:r w:rsidR="00EC19FE" w:rsidRPr="003C42F9">
        <w:t>sur les produits et les charges de l’exercice comptable se terminant à ce</w:t>
      </w:r>
      <w:r w:rsidR="00B978C2">
        <w:t>s</w:t>
      </w:r>
      <w:r w:rsidR="00EC19FE" w:rsidRPr="003C42F9">
        <w:t xml:space="preserve"> date</w:t>
      </w:r>
      <w:r w:rsidR="00B978C2">
        <w:t>s</w:t>
      </w:r>
      <w:r w:rsidR="001614D3">
        <w:t xml:space="preserve">. L’audit permettra également </w:t>
      </w:r>
      <w:r w:rsidR="0047075B">
        <w:t xml:space="preserve">de </w:t>
      </w:r>
      <w:r w:rsidR="0047075B" w:rsidRPr="0047075B">
        <w:t xml:space="preserve">s’assurer que les ressources mises à la disposition du Projet </w:t>
      </w:r>
      <w:r w:rsidR="001614D3">
        <w:t>ont été</w:t>
      </w:r>
      <w:r w:rsidR="0047075B" w:rsidRPr="0047075B">
        <w:t xml:space="preserve"> utilisées aux fins pour lesquelles elles ont été octroyées.</w:t>
      </w:r>
    </w:p>
    <w:p w:rsidR="0047075B" w:rsidRDefault="0047075B" w:rsidP="0089613C">
      <w:pPr>
        <w:pStyle w:val="Corpsdetexte"/>
        <w:spacing w:after="0"/>
      </w:pPr>
    </w:p>
    <w:p w:rsidR="00555F0E" w:rsidRPr="00EC19FE" w:rsidRDefault="00EC19FE" w:rsidP="0089613C">
      <w:pPr>
        <w:pStyle w:val="Corpsdetexte"/>
        <w:spacing w:after="0"/>
      </w:pPr>
      <w:r w:rsidRPr="003C42F9">
        <w:t xml:space="preserve">Les comptes du </w:t>
      </w:r>
      <w:r>
        <w:t>P</w:t>
      </w:r>
      <w:r w:rsidRPr="003C42F9">
        <w:t xml:space="preserve">rojet servent de base à la préparation des états financiers et sont établis de manière à refléter les transactions financières réalisées dans le cadre du </w:t>
      </w:r>
      <w:r>
        <w:t>P</w:t>
      </w:r>
      <w:r w:rsidRPr="003C42F9">
        <w:t>rojet.</w:t>
      </w:r>
    </w:p>
    <w:p w:rsidR="00555F0E" w:rsidRPr="003C42F9" w:rsidRDefault="00555F0E" w:rsidP="0089613C">
      <w:pPr>
        <w:pStyle w:val="Corpsdetexte"/>
        <w:spacing w:after="0"/>
        <w:rPr>
          <w:sz w:val="28"/>
          <w:szCs w:val="24"/>
        </w:rPr>
      </w:pPr>
    </w:p>
    <w:p w:rsidR="00555F0E" w:rsidRPr="003C42F9" w:rsidRDefault="00555F0E" w:rsidP="0089613C">
      <w:pPr>
        <w:pStyle w:val="Paragraphedeliste"/>
        <w:numPr>
          <w:ilvl w:val="0"/>
          <w:numId w:val="8"/>
        </w:numPr>
        <w:spacing w:line="276" w:lineRule="auto"/>
        <w:ind w:left="567" w:hanging="567"/>
        <w:jc w:val="both"/>
        <w:rPr>
          <w:b/>
          <w:szCs w:val="24"/>
          <w:u w:val="single"/>
        </w:rPr>
      </w:pPr>
      <w:r w:rsidRPr="003C42F9">
        <w:rPr>
          <w:b/>
          <w:szCs w:val="24"/>
          <w:u w:val="single"/>
        </w:rPr>
        <w:t xml:space="preserve">PREPARATION DES ETATS FINANCIERS ANNUELS </w:t>
      </w:r>
    </w:p>
    <w:p w:rsidR="00555F0E" w:rsidRPr="00FF6730" w:rsidRDefault="00555F0E" w:rsidP="0089613C">
      <w:pPr>
        <w:pStyle w:val="Paragraphedeliste"/>
        <w:spacing w:line="276" w:lineRule="auto"/>
        <w:ind w:left="567"/>
        <w:jc w:val="both"/>
        <w:rPr>
          <w:b/>
          <w:szCs w:val="24"/>
          <w:u w:val="single"/>
        </w:rPr>
      </w:pPr>
    </w:p>
    <w:p w:rsidR="00EC19FE" w:rsidRDefault="00555F0E" w:rsidP="0089613C">
      <w:pPr>
        <w:pStyle w:val="Corpsdetexte"/>
        <w:spacing w:after="0"/>
        <w:rPr>
          <w:szCs w:val="24"/>
        </w:rPr>
      </w:pPr>
      <w:r w:rsidRPr="007E3805">
        <w:rPr>
          <w:szCs w:val="24"/>
        </w:rPr>
        <w:t>La responsabilité de la préparation des états financiers</w:t>
      </w:r>
      <w:r w:rsidR="001614D3">
        <w:rPr>
          <w:szCs w:val="24"/>
        </w:rPr>
        <w:t>,</w:t>
      </w:r>
      <w:r w:rsidRPr="007E3805">
        <w:rPr>
          <w:szCs w:val="24"/>
        </w:rPr>
        <w:t xml:space="preserve"> incluant les notes annexes</w:t>
      </w:r>
      <w:r w:rsidR="001614D3">
        <w:rPr>
          <w:szCs w:val="24"/>
        </w:rPr>
        <w:t>,</w:t>
      </w:r>
      <w:r w:rsidRPr="007E3805">
        <w:rPr>
          <w:szCs w:val="24"/>
        </w:rPr>
        <w:t xml:space="preserve"> relève de l’Unité de </w:t>
      </w:r>
      <w:r w:rsidR="0054276B">
        <w:rPr>
          <w:szCs w:val="24"/>
        </w:rPr>
        <w:t>Gestion</w:t>
      </w:r>
      <w:r w:rsidRPr="007E3805">
        <w:rPr>
          <w:szCs w:val="24"/>
        </w:rPr>
        <w:t xml:space="preserve"> du Projet</w:t>
      </w:r>
      <w:r w:rsidR="0054276B">
        <w:rPr>
          <w:szCs w:val="24"/>
        </w:rPr>
        <w:t xml:space="preserve"> (UG</w:t>
      </w:r>
      <w:r w:rsidR="00CE6330">
        <w:rPr>
          <w:szCs w:val="24"/>
        </w:rPr>
        <w:t>P).</w:t>
      </w:r>
      <w:r w:rsidR="00DF6866">
        <w:rPr>
          <w:szCs w:val="24"/>
        </w:rPr>
        <w:t>À cet effet, elle est</w:t>
      </w:r>
      <w:r w:rsidR="00EC19FE">
        <w:rPr>
          <w:szCs w:val="24"/>
        </w:rPr>
        <w:t xml:space="preserve"> responsable</w:t>
      </w:r>
      <w:r w:rsidR="00DF6866">
        <w:rPr>
          <w:szCs w:val="24"/>
        </w:rPr>
        <w:t xml:space="preserve"> de maintenir un système de contrôle interne adéquat, </w:t>
      </w:r>
      <w:r w:rsidR="00CE6330">
        <w:rPr>
          <w:szCs w:val="24"/>
        </w:rPr>
        <w:t xml:space="preserve">de </w:t>
      </w:r>
      <w:r w:rsidR="00DF6866">
        <w:rPr>
          <w:szCs w:val="24"/>
        </w:rPr>
        <w:t xml:space="preserve">conserver </w:t>
      </w:r>
      <w:r w:rsidR="00DF6866" w:rsidRPr="00CE6330">
        <w:rPr>
          <w:szCs w:val="24"/>
        </w:rPr>
        <w:t>des</w:t>
      </w:r>
      <w:r w:rsidR="00DF6866" w:rsidRPr="00EC19FE">
        <w:rPr>
          <w:szCs w:val="24"/>
        </w:rPr>
        <w:t xml:space="preserve">registres comptables </w:t>
      </w:r>
      <w:r w:rsidR="00DF6866">
        <w:rPr>
          <w:szCs w:val="24"/>
        </w:rPr>
        <w:t xml:space="preserve">et une </w:t>
      </w:r>
      <w:r w:rsidR="00DF6866" w:rsidRPr="00CE6330">
        <w:rPr>
          <w:szCs w:val="24"/>
        </w:rPr>
        <w:t xml:space="preserve">documentation acceptable des transactions, </w:t>
      </w:r>
      <w:r w:rsidR="00DF6866" w:rsidRPr="00EC19FE">
        <w:rPr>
          <w:szCs w:val="24"/>
        </w:rPr>
        <w:t>du choix et de l’application des méthodes comptables</w:t>
      </w:r>
      <w:r w:rsidR="00DF6866">
        <w:rPr>
          <w:szCs w:val="24"/>
        </w:rPr>
        <w:t xml:space="preserve">, </w:t>
      </w:r>
      <w:r w:rsidR="00DF6866" w:rsidRPr="00EC19FE">
        <w:rPr>
          <w:szCs w:val="24"/>
        </w:rPr>
        <w:t xml:space="preserve">de la protection des actifs du </w:t>
      </w:r>
      <w:r w:rsidR="00DF6866">
        <w:rPr>
          <w:szCs w:val="24"/>
        </w:rPr>
        <w:t>P</w:t>
      </w:r>
      <w:r w:rsidR="00DF6866" w:rsidRPr="00EC19FE">
        <w:rPr>
          <w:szCs w:val="24"/>
        </w:rPr>
        <w:t>rojet</w:t>
      </w:r>
      <w:r w:rsidR="00DF6866">
        <w:rPr>
          <w:szCs w:val="24"/>
        </w:rPr>
        <w:t xml:space="preserve"> et de la présentation</w:t>
      </w:r>
      <w:r w:rsidR="00DF6866" w:rsidRPr="00EC19FE">
        <w:rPr>
          <w:szCs w:val="24"/>
        </w:rPr>
        <w:t xml:space="preserve"> adéquate</w:t>
      </w:r>
      <w:r w:rsidR="00DF6866">
        <w:rPr>
          <w:szCs w:val="24"/>
        </w:rPr>
        <w:t xml:space="preserve"> de l’information financière. </w:t>
      </w:r>
    </w:p>
    <w:p w:rsidR="0047075B" w:rsidRDefault="0047075B" w:rsidP="0089613C">
      <w:pPr>
        <w:pStyle w:val="Corpsdetexte"/>
        <w:spacing w:after="0"/>
        <w:rPr>
          <w:szCs w:val="24"/>
        </w:rPr>
      </w:pPr>
    </w:p>
    <w:p w:rsidR="0047075B" w:rsidRDefault="00CE6330" w:rsidP="0089613C">
      <w:pPr>
        <w:pStyle w:val="Corpsdetexte"/>
        <w:spacing w:after="0"/>
        <w:rPr>
          <w:szCs w:val="24"/>
        </w:rPr>
      </w:pPr>
      <w:r>
        <w:rPr>
          <w:szCs w:val="24"/>
        </w:rPr>
        <w:t>L</w:t>
      </w:r>
      <w:r w:rsidR="0047075B" w:rsidRPr="0047075B">
        <w:rPr>
          <w:szCs w:val="24"/>
        </w:rPr>
        <w:t>’auditeur</w:t>
      </w:r>
      <w:r w:rsidR="0047075B">
        <w:rPr>
          <w:szCs w:val="24"/>
        </w:rPr>
        <w:t xml:space="preserve"> externe</w:t>
      </w:r>
      <w:r w:rsidR="0047075B" w:rsidRPr="0047075B">
        <w:rPr>
          <w:szCs w:val="24"/>
        </w:rPr>
        <w:t xml:space="preserve"> demandera à </w:t>
      </w:r>
      <w:r w:rsidR="00901715" w:rsidRPr="007E3805">
        <w:rPr>
          <w:szCs w:val="24"/>
        </w:rPr>
        <w:t xml:space="preserve">l’Unité de </w:t>
      </w:r>
      <w:r w:rsidR="00901715">
        <w:rPr>
          <w:szCs w:val="24"/>
        </w:rPr>
        <w:t>Gestion</w:t>
      </w:r>
      <w:r w:rsidR="00901715" w:rsidRPr="007E3805">
        <w:rPr>
          <w:szCs w:val="24"/>
        </w:rPr>
        <w:t xml:space="preserve"> du Projet</w:t>
      </w:r>
      <w:r w:rsidR="00901715">
        <w:rPr>
          <w:szCs w:val="24"/>
        </w:rPr>
        <w:t xml:space="preserve"> (UGP) une lettre </w:t>
      </w:r>
      <w:r w:rsidR="0047075B">
        <w:rPr>
          <w:szCs w:val="24"/>
        </w:rPr>
        <w:t>d’affirmation</w:t>
      </w:r>
      <w:r w:rsidRPr="0047075B">
        <w:rPr>
          <w:szCs w:val="24"/>
        </w:rPr>
        <w:t>confirm</w:t>
      </w:r>
      <w:r>
        <w:rPr>
          <w:szCs w:val="24"/>
        </w:rPr>
        <w:t>ant</w:t>
      </w:r>
      <w:r w:rsidRPr="0047075B">
        <w:rPr>
          <w:szCs w:val="24"/>
        </w:rPr>
        <w:t xml:space="preserve"> par écrit les déclarations qui </w:t>
      </w:r>
      <w:r w:rsidR="00901715">
        <w:rPr>
          <w:szCs w:val="24"/>
        </w:rPr>
        <w:t>lui ont été faites par l’UG</w:t>
      </w:r>
      <w:r>
        <w:rPr>
          <w:szCs w:val="24"/>
        </w:rPr>
        <w:t xml:space="preserve">P </w:t>
      </w:r>
      <w:r w:rsidRPr="0047075B">
        <w:rPr>
          <w:szCs w:val="24"/>
        </w:rPr>
        <w:t>dans le cadre de l'audit.</w:t>
      </w:r>
    </w:p>
    <w:p w:rsidR="00555F0E" w:rsidRPr="00403EDB" w:rsidRDefault="00555F0E" w:rsidP="0089613C">
      <w:pPr>
        <w:pStyle w:val="Corpsdetexte"/>
        <w:spacing w:after="0"/>
      </w:pPr>
    </w:p>
    <w:p w:rsidR="00555F0E" w:rsidRPr="003C42F9" w:rsidRDefault="00555F0E" w:rsidP="0089613C">
      <w:pPr>
        <w:pStyle w:val="Paragraphedeliste"/>
        <w:numPr>
          <w:ilvl w:val="0"/>
          <w:numId w:val="8"/>
        </w:numPr>
        <w:spacing w:line="276" w:lineRule="auto"/>
        <w:ind w:left="567" w:hanging="567"/>
        <w:jc w:val="both"/>
        <w:rPr>
          <w:b/>
          <w:bCs/>
          <w:caps/>
          <w:szCs w:val="24"/>
          <w:u w:val="single"/>
        </w:rPr>
      </w:pPr>
      <w:r w:rsidRPr="003C42F9">
        <w:rPr>
          <w:b/>
          <w:bCs/>
          <w:caps/>
          <w:szCs w:val="24"/>
          <w:u w:val="single"/>
        </w:rPr>
        <w:t>Etendue de l’audit</w:t>
      </w:r>
    </w:p>
    <w:p w:rsidR="00555F0E" w:rsidRPr="007E3805" w:rsidRDefault="00555F0E" w:rsidP="0089613C">
      <w:pPr>
        <w:pStyle w:val="Corpsdetexte"/>
        <w:spacing w:after="0"/>
        <w:rPr>
          <w:szCs w:val="24"/>
        </w:rPr>
      </w:pPr>
    </w:p>
    <w:p w:rsidR="0040200F" w:rsidRDefault="00CE6330" w:rsidP="0089613C">
      <w:pPr>
        <w:pStyle w:val="Corpsdetexte"/>
        <w:spacing w:after="0"/>
        <w:rPr>
          <w:bCs/>
        </w:rPr>
      </w:pPr>
      <w:r>
        <w:rPr>
          <w:bCs/>
        </w:rPr>
        <w:t>L</w:t>
      </w:r>
      <w:r w:rsidR="00555F0E" w:rsidRPr="007E3805">
        <w:rPr>
          <w:bCs/>
        </w:rPr>
        <w:t xml:space="preserve">’audit des comptes du Projet sera réalisé conformément aux </w:t>
      </w:r>
      <w:hyperlink r:id="rId12" w:history="1">
        <w:r w:rsidRPr="00CE6330">
          <w:rPr>
            <w:rStyle w:val="Lienhypertexte"/>
            <w:bCs/>
          </w:rPr>
          <w:t>N</w:t>
        </w:r>
        <w:r w:rsidR="00555F0E" w:rsidRPr="00CE6330">
          <w:rPr>
            <w:rStyle w:val="Lienhypertexte"/>
            <w:bCs/>
          </w:rPr>
          <w:t xml:space="preserve">ormes </w:t>
        </w:r>
        <w:r w:rsidRPr="00CE6330">
          <w:rPr>
            <w:rStyle w:val="Lienhypertexte"/>
            <w:bCs/>
          </w:rPr>
          <w:t>I</w:t>
        </w:r>
        <w:r w:rsidR="00555F0E" w:rsidRPr="00CE6330">
          <w:rPr>
            <w:rStyle w:val="Lienhypertexte"/>
            <w:bCs/>
          </w:rPr>
          <w:t>nternationales d’</w:t>
        </w:r>
        <w:r w:rsidRPr="00CE6330">
          <w:rPr>
            <w:rStyle w:val="Lienhypertexte"/>
            <w:bCs/>
          </w:rPr>
          <w:t>A</w:t>
        </w:r>
        <w:r w:rsidR="00555F0E" w:rsidRPr="00CE6330">
          <w:rPr>
            <w:rStyle w:val="Lienhypertexte"/>
            <w:bCs/>
          </w:rPr>
          <w:t>udit</w:t>
        </w:r>
      </w:hyperlink>
      <w:r w:rsidR="00555F0E" w:rsidRPr="007E3805">
        <w:rPr>
          <w:bCs/>
        </w:rPr>
        <w:t xml:space="preserve"> (ISA) édictées par l’IFAC</w:t>
      </w:r>
      <w:r>
        <w:rPr>
          <w:bCs/>
        </w:rPr>
        <w:t>. Ces normes requière</w:t>
      </w:r>
      <w:r w:rsidR="0040200F">
        <w:rPr>
          <w:bCs/>
        </w:rPr>
        <w:t xml:space="preserve">nt que l’auditeur </w:t>
      </w:r>
      <w:r w:rsidR="0040200F" w:rsidRPr="0040200F">
        <w:rPr>
          <w:bCs/>
        </w:rPr>
        <w:t>planifie et</w:t>
      </w:r>
      <w:r w:rsidR="0040200F">
        <w:rPr>
          <w:bCs/>
        </w:rPr>
        <w:t xml:space="preserve"> exécute </w:t>
      </w:r>
      <w:r w:rsidR="0040200F" w:rsidRPr="0040200F">
        <w:rPr>
          <w:bCs/>
        </w:rPr>
        <w:t>l'audit</w:t>
      </w:r>
      <w:r w:rsidR="0040200F">
        <w:rPr>
          <w:bCs/>
        </w:rPr>
        <w:t xml:space="preserve"> de manière à</w:t>
      </w:r>
      <w:r w:rsidR="0040200F" w:rsidRPr="0040200F">
        <w:rPr>
          <w:bCs/>
        </w:rPr>
        <w:t xml:space="preserve"> obtenir une assurance raisonnable que les états financiers ne</w:t>
      </w:r>
      <w:r w:rsidR="0040200F">
        <w:rPr>
          <w:bCs/>
        </w:rPr>
        <w:t xml:space="preserve"> comportent</w:t>
      </w:r>
      <w:r w:rsidR="0040200F" w:rsidRPr="0040200F">
        <w:rPr>
          <w:bCs/>
        </w:rPr>
        <w:t xml:space="preserve"> pas d'anomalies significatives. Un audit consiste à examiner, par sondages, les éléments probants justifiant les montants et les informations fournis dans les états financiers. Un audit inclut également une évaluation </w:t>
      </w:r>
      <w:r w:rsidR="0040200F">
        <w:rPr>
          <w:bCs/>
        </w:rPr>
        <w:t xml:space="preserve">du choix et de l’application des méthodes comptables, </w:t>
      </w:r>
      <w:r w:rsidR="0040200F" w:rsidRPr="0040200F">
        <w:rPr>
          <w:bCs/>
        </w:rPr>
        <w:t>des estimations significatives effectuées par l</w:t>
      </w:r>
      <w:r w:rsidR="00901715">
        <w:rPr>
          <w:bCs/>
        </w:rPr>
        <w:t>’UG</w:t>
      </w:r>
      <w:r w:rsidR="00542697">
        <w:rPr>
          <w:bCs/>
        </w:rPr>
        <w:t>P</w:t>
      </w:r>
      <w:r w:rsidR="0040200F" w:rsidRPr="0040200F">
        <w:rPr>
          <w:bCs/>
        </w:rPr>
        <w:t>, ainsi qu'une évaluation de la présentation générale des états financiers.</w:t>
      </w:r>
    </w:p>
    <w:p w:rsidR="0040200F" w:rsidRDefault="0040200F" w:rsidP="0089613C">
      <w:pPr>
        <w:pStyle w:val="Corpsdetexte"/>
        <w:spacing w:after="0"/>
        <w:rPr>
          <w:bCs/>
        </w:rPr>
      </w:pPr>
    </w:p>
    <w:p w:rsidR="00555F0E" w:rsidRPr="007E3805" w:rsidRDefault="00555F0E" w:rsidP="0089613C">
      <w:pPr>
        <w:autoSpaceDE w:val="0"/>
        <w:autoSpaceDN w:val="0"/>
        <w:adjustRightInd w:val="0"/>
        <w:jc w:val="both"/>
      </w:pPr>
      <w:r w:rsidRPr="007E3805">
        <w:t xml:space="preserve">En conformité avec les </w:t>
      </w:r>
      <w:r w:rsidR="00542697">
        <w:t>Normes Internationales d’Audit</w:t>
      </w:r>
      <w:r w:rsidRPr="007E3805">
        <w:t xml:space="preserve">, l’auditeur devra accorder une attention particulière aux points </w:t>
      </w:r>
      <w:r w:rsidR="00542697" w:rsidRPr="007E3805">
        <w:t>suivants :</w:t>
      </w:r>
    </w:p>
    <w:p w:rsidR="00555F0E" w:rsidRPr="007E3805" w:rsidRDefault="00555F0E" w:rsidP="0089613C">
      <w:pPr>
        <w:tabs>
          <w:tab w:val="left" w:pos="720"/>
        </w:tabs>
        <w:autoSpaceDE w:val="0"/>
        <w:autoSpaceDN w:val="0"/>
        <w:adjustRightInd w:val="0"/>
        <w:jc w:val="both"/>
        <w:rPr>
          <w:bCs/>
        </w:rPr>
      </w:pPr>
    </w:p>
    <w:p w:rsidR="00555F0E" w:rsidRPr="007E3805" w:rsidRDefault="00555F0E" w:rsidP="0089613C">
      <w:pPr>
        <w:numPr>
          <w:ilvl w:val="0"/>
          <w:numId w:val="2"/>
        </w:numPr>
        <w:tabs>
          <w:tab w:val="clear" w:pos="1440"/>
          <w:tab w:val="num" w:pos="720"/>
        </w:tabs>
        <w:ind w:left="720"/>
        <w:jc w:val="both"/>
        <w:rPr>
          <w:bCs/>
        </w:rPr>
      </w:pPr>
      <w:r>
        <w:rPr>
          <w:b/>
          <w:bCs/>
          <w:i/>
        </w:rPr>
        <w:t>F</w:t>
      </w:r>
      <w:r w:rsidRPr="007E3805">
        <w:rPr>
          <w:b/>
          <w:bCs/>
          <w:i/>
        </w:rPr>
        <w:t>raude et Corruption</w:t>
      </w:r>
      <w:r w:rsidRPr="007E3805">
        <w:rPr>
          <w:bCs/>
        </w:rPr>
        <w:t xml:space="preserve"> : Conformément à la norme </w:t>
      </w:r>
      <w:r w:rsidRPr="007E3805">
        <w:rPr>
          <w:b/>
          <w:bCs/>
          <w:u w:val="single"/>
        </w:rPr>
        <w:t>ISA 240 (Prise en compte du risque de fraude et d’erreur lors de l’audit des comptes)</w:t>
      </w:r>
      <w:r w:rsidRPr="007E3805">
        <w:rPr>
          <w:bCs/>
        </w:rPr>
        <w:t>, l’auditeur devra identifier et évaluer les risques de fraude, obtenir ou fournir des preuves d’audit suffisantes d’analyse de ces risques et traiter de manière appropriée les fraudes identifiées ou suspectées.</w:t>
      </w:r>
    </w:p>
    <w:p w:rsidR="00555F0E" w:rsidRPr="007E3805" w:rsidRDefault="00555F0E" w:rsidP="0089613C">
      <w:pPr>
        <w:ind w:left="360"/>
        <w:jc w:val="both"/>
        <w:rPr>
          <w:bCs/>
        </w:rPr>
      </w:pPr>
    </w:p>
    <w:p w:rsidR="00555F0E" w:rsidRPr="007E3805" w:rsidRDefault="00555F0E" w:rsidP="0089613C">
      <w:pPr>
        <w:numPr>
          <w:ilvl w:val="0"/>
          <w:numId w:val="2"/>
        </w:numPr>
        <w:tabs>
          <w:tab w:val="clear" w:pos="1440"/>
          <w:tab w:val="num" w:pos="720"/>
        </w:tabs>
        <w:ind w:left="720"/>
        <w:jc w:val="both"/>
        <w:rPr>
          <w:bCs/>
        </w:rPr>
      </w:pPr>
      <w:r w:rsidRPr="007E3805">
        <w:rPr>
          <w:b/>
          <w:bCs/>
          <w:i/>
        </w:rPr>
        <w:t>Lois et Règlements</w:t>
      </w:r>
      <w:r w:rsidRPr="007E3805">
        <w:rPr>
          <w:bCs/>
        </w:rPr>
        <w:t xml:space="preserve"> : En élaborant l’approche d’audit et en exécutant les procédures d’audit, l’auditeur devra évaluer la conformité de l’Unité de </w:t>
      </w:r>
      <w:r>
        <w:rPr>
          <w:bCs/>
        </w:rPr>
        <w:t xml:space="preserve">Coordination </w:t>
      </w:r>
      <w:r w:rsidRPr="007E3805">
        <w:rPr>
          <w:bCs/>
        </w:rPr>
        <w:t xml:space="preserve">du Projet avec les lois et les règlements qui pourraient affecter significativement les états financiers comme requis par la norme </w:t>
      </w:r>
      <w:r w:rsidRPr="007E3805">
        <w:rPr>
          <w:b/>
          <w:bCs/>
          <w:u w:val="single"/>
        </w:rPr>
        <w:t>ISA 250 (Prise en compte du risque d’anomalies dans les comptes résultant du non-respect des textes légaux et réglementaires</w:t>
      </w:r>
      <w:r w:rsidRPr="007E3805">
        <w:rPr>
          <w:b/>
          <w:bCs/>
        </w:rPr>
        <w:t>)</w:t>
      </w:r>
      <w:r w:rsidRPr="007E3805">
        <w:rPr>
          <w:bCs/>
        </w:rPr>
        <w:t>.</w:t>
      </w:r>
    </w:p>
    <w:p w:rsidR="00555F0E" w:rsidRPr="007E3805" w:rsidRDefault="00555F0E" w:rsidP="0089613C">
      <w:pPr>
        <w:jc w:val="both"/>
        <w:rPr>
          <w:bCs/>
        </w:rPr>
      </w:pPr>
    </w:p>
    <w:p w:rsidR="00555F0E" w:rsidRDefault="00555F0E" w:rsidP="0089613C">
      <w:pPr>
        <w:numPr>
          <w:ilvl w:val="0"/>
          <w:numId w:val="2"/>
        </w:numPr>
        <w:tabs>
          <w:tab w:val="clear" w:pos="1440"/>
          <w:tab w:val="num" w:pos="720"/>
        </w:tabs>
        <w:ind w:left="720"/>
        <w:jc w:val="both"/>
        <w:rPr>
          <w:bCs/>
        </w:rPr>
      </w:pPr>
      <w:r w:rsidRPr="007E3805">
        <w:rPr>
          <w:b/>
          <w:bCs/>
          <w:i/>
        </w:rPr>
        <w:t>Gouvernance </w:t>
      </w:r>
      <w:r w:rsidRPr="007E3805">
        <w:rPr>
          <w:bCs/>
        </w:rPr>
        <w:t xml:space="preserve">: La communication avec les responsables du Projet en charge de la Gouvernance des points d’audit significatifs en conformité avec la norme </w:t>
      </w:r>
      <w:r w:rsidRPr="007E3805">
        <w:rPr>
          <w:b/>
          <w:bCs/>
          <w:u w:val="single"/>
        </w:rPr>
        <w:t>ISA 260 (Communication sur la mission avec les personnes en charge de la Gouvernance)</w:t>
      </w:r>
      <w:r w:rsidRPr="007E3805">
        <w:rPr>
          <w:bCs/>
        </w:rPr>
        <w:t xml:space="preserve">. </w:t>
      </w:r>
    </w:p>
    <w:p w:rsidR="00CC7B39" w:rsidRPr="00CC7B39" w:rsidRDefault="00CC7B39" w:rsidP="0089613C">
      <w:pPr>
        <w:ind w:left="720"/>
        <w:jc w:val="both"/>
        <w:rPr>
          <w:bCs/>
        </w:rPr>
      </w:pPr>
    </w:p>
    <w:p w:rsidR="00CC7B39" w:rsidRPr="007E3805" w:rsidRDefault="00CC7B39" w:rsidP="0089613C">
      <w:pPr>
        <w:numPr>
          <w:ilvl w:val="0"/>
          <w:numId w:val="2"/>
        </w:numPr>
        <w:tabs>
          <w:tab w:val="clear" w:pos="1440"/>
          <w:tab w:val="num" w:pos="720"/>
        </w:tabs>
        <w:ind w:left="720"/>
        <w:jc w:val="both"/>
        <w:rPr>
          <w:bCs/>
        </w:rPr>
      </w:pPr>
      <w:r w:rsidRPr="00CC7B39">
        <w:rPr>
          <w:b/>
          <w:i/>
        </w:rPr>
        <w:t>Contrôle interne</w:t>
      </w:r>
      <w:r>
        <w:t xml:space="preserve"> : La communication aux personnes </w:t>
      </w:r>
      <w:r w:rsidRPr="007E3805">
        <w:rPr>
          <w:bCs/>
        </w:rPr>
        <w:t>en charge de la Gouvernance</w:t>
      </w:r>
      <w:r>
        <w:t xml:space="preserve"> et à l’Unité de Coordination du Projet les faiblesses du contrôle interne relevées lors de l’audit des états </w:t>
      </w:r>
      <w:r w:rsidR="00D41FE9">
        <w:t>financiers</w:t>
      </w:r>
      <w:r w:rsidR="00D41FE9" w:rsidRPr="007E3805">
        <w:rPr>
          <w:bCs/>
        </w:rPr>
        <w:t xml:space="preserve"> en</w:t>
      </w:r>
      <w:r w:rsidR="000B0015" w:rsidRPr="007E3805">
        <w:rPr>
          <w:bCs/>
        </w:rPr>
        <w:t xml:space="preserve"> conformité avec la norme </w:t>
      </w:r>
      <w:r w:rsidR="000B0015" w:rsidRPr="000B0015">
        <w:rPr>
          <w:b/>
          <w:bCs/>
          <w:u w:val="single"/>
        </w:rPr>
        <w:t>ISA 265</w:t>
      </w:r>
      <w:r w:rsidR="000B0015">
        <w:rPr>
          <w:b/>
          <w:bCs/>
          <w:u w:val="single"/>
        </w:rPr>
        <w:t xml:space="preserve"> (Communication</w:t>
      </w:r>
      <w:r w:rsidR="000B0015" w:rsidRPr="000B0015">
        <w:rPr>
          <w:b/>
          <w:bCs/>
          <w:u w:val="single"/>
        </w:rPr>
        <w:t xml:space="preserve"> des faiblesses du contrôle interne aux </w:t>
      </w:r>
      <w:r w:rsidR="000B0015" w:rsidRPr="007E3805">
        <w:rPr>
          <w:b/>
          <w:bCs/>
          <w:u w:val="single"/>
        </w:rPr>
        <w:t>personnes en charge de la Gouvernance</w:t>
      </w:r>
      <w:r w:rsidR="000B0015" w:rsidRPr="000B0015">
        <w:rPr>
          <w:b/>
          <w:bCs/>
          <w:u w:val="single"/>
        </w:rPr>
        <w:t xml:space="preserve"> et à la direction</w:t>
      </w:r>
      <w:r w:rsidR="000B0015" w:rsidRPr="007E3805">
        <w:rPr>
          <w:b/>
          <w:bCs/>
          <w:u w:val="single"/>
        </w:rPr>
        <w:t>)</w:t>
      </w:r>
      <w:r w:rsidR="000B0015" w:rsidRPr="007E3805">
        <w:rPr>
          <w:bCs/>
        </w:rPr>
        <w:t>.</w:t>
      </w:r>
    </w:p>
    <w:p w:rsidR="00555F0E" w:rsidRPr="007E3805" w:rsidRDefault="00555F0E" w:rsidP="0089613C">
      <w:pPr>
        <w:jc w:val="both"/>
        <w:rPr>
          <w:bCs/>
        </w:rPr>
      </w:pPr>
    </w:p>
    <w:p w:rsidR="00555F0E" w:rsidRPr="00442A0D" w:rsidRDefault="00555F0E" w:rsidP="0089613C">
      <w:pPr>
        <w:numPr>
          <w:ilvl w:val="0"/>
          <w:numId w:val="2"/>
        </w:numPr>
        <w:tabs>
          <w:tab w:val="clear" w:pos="1440"/>
          <w:tab w:val="num" w:pos="720"/>
        </w:tabs>
        <w:ind w:left="720"/>
        <w:jc w:val="both"/>
        <w:rPr>
          <w:bCs/>
        </w:rPr>
      </w:pPr>
      <w:r w:rsidRPr="007E3805">
        <w:rPr>
          <w:b/>
          <w:bCs/>
          <w:i/>
        </w:rPr>
        <w:t>Risques </w:t>
      </w:r>
      <w:r w:rsidRPr="007E3805">
        <w:rPr>
          <w:bCs/>
        </w:rPr>
        <w:t xml:space="preserve">: Dans l’objectif de réduire les risques d’audit à un niveau relativement faible, l’auditeur mettra en œuvre les procédures d’audit appropriées en réponse aux risques d’anomalies identifiés à l’issue de son évaluation. Cela en conformité avec la norme </w:t>
      </w:r>
      <w:r w:rsidRPr="007E3805">
        <w:rPr>
          <w:b/>
          <w:bCs/>
          <w:u w:val="single"/>
        </w:rPr>
        <w:t>ISA 330 (Procédures d’audit mises en œuvre par l’auditeur à l’issue de son évaluation des risques)</w:t>
      </w:r>
      <w:r w:rsidRPr="007E3805">
        <w:rPr>
          <w:bCs/>
        </w:rPr>
        <w:t>.</w:t>
      </w:r>
    </w:p>
    <w:p w:rsidR="000B0015" w:rsidRPr="00442A0D" w:rsidRDefault="000B0015" w:rsidP="0089613C">
      <w:pPr>
        <w:pStyle w:val="Corpsdetexte"/>
        <w:spacing w:after="0"/>
        <w:rPr>
          <w:bCs/>
          <w:szCs w:val="24"/>
        </w:rPr>
      </w:pPr>
    </w:p>
    <w:p w:rsidR="00442A0D" w:rsidRPr="00442A0D" w:rsidRDefault="000B0015" w:rsidP="0089613C">
      <w:pPr>
        <w:numPr>
          <w:ilvl w:val="0"/>
          <w:numId w:val="2"/>
        </w:numPr>
        <w:tabs>
          <w:tab w:val="clear" w:pos="1440"/>
          <w:tab w:val="num" w:pos="720"/>
        </w:tabs>
        <w:ind w:left="720"/>
        <w:jc w:val="both"/>
        <w:rPr>
          <w:b/>
          <w:bCs/>
          <w:szCs w:val="24"/>
          <w:u w:val="single"/>
        </w:rPr>
      </w:pPr>
      <w:r w:rsidRPr="00442A0D">
        <w:rPr>
          <w:b/>
          <w:bCs/>
          <w:i/>
          <w:szCs w:val="24"/>
        </w:rPr>
        <w:t>Société de services</w:t>
      </w:r>
      <w:r w:rsidRPr="00442A0D">
        <w:rPr>
          <w:bCs/>
          <w:szCs w:val="24"/>
        </w:rPr>
        <w:t xml:space="preserve"> : Lorsque certains aspects de la mise en œuvre du Projet sont exécutés par une </w:t>
      </w:r>
      <w:r w:rsidR="00442A0D" w:rsidRPr="00442A0D">
        <w:rPr>
          <w:bCs/>
          <w:szCs w:val="24"/>
        </w:rPr>
        <w:t>tierce</w:t>
      </w:r>
      <w:r w:rsidRPr="00442A0D">
        <w:rPr>
          <w:bCs/>
          <w:szCs w:val="24"/>
        </w:rPr>
        <w:t xml:space="preserve"> entité, l’auditeur doit </w:t>
      </w:r>
      <w:r w:rsidR="001614D3">
        <w:rPr>
          <w:bCs/>
          <w:szCs w:val="24"/>
        </w:rPr>
        <w:t>acquérir</w:t>
      </w:r>
      <w:r w:rsidRPr="00442A0D">
        <w:rPr>
          <w:bCs/>
          <w:szCs w:val="24"/>
        </w:rPr>
        <w:t xml:space="preserve"> une compréhension et </w:t>
      </w:r>
      <w:r w:rsidR="001614D3">
        <w:rPr>
          <w:bCs/>
          <w:szCs w:val="24"/>
        </w:rPr>
        <w:t xml:space="preserve">effectuer </w:t>
      </w:r>
      <w:r w:rsidRPr="00442A0D">
        <w:rPr>
          <w:bCs/>
          <w:szCs w:val="24"/>
        </w:rPr>
        <w:t xml:space="preserve">une évaluation de l’environnement de contrôle interne </w:t>
      </w:r>
      <w:r w:rsidR="00442A0D" w:rsidRPr="00442A0D">
        <w:rPr>
          <w:bCs/>
          <w:szCs w:val="24"/>
        </w:rPr>
        <w:t>de cette entité</w:t>
      </w:r>
      <w:r w:rsidRPr="00442A0D">
        <w:rPr>
          <w:bCs/>
          <w:szCs w:val="24"/>
        </w:rPr>
        <w:t xml:space="preserve"> au cours du processus d’audit</w:t>
      </w:r>
      <w:r w:rsidR="00442A0D" w:rsidRPr="00442A0D">
        <w:rPr>
          <w:bCs/>
          <w:szCs w:val="24"/>
        </w:rPr>
        <w:t xml:space="preserve"> en conformité avec la norme </w:t>
      </w:r>
      <w:r w:rsidR="00442A0D" w:rsidRPr="00442A0D">
        <w:rPr>
          <w:b/>
          <w:bCs/>
          <w:szCs w:val="24"/>
          <w:u w:val="single"/>
        </w:rPr>
        <w:t>ISA 402 (Facteurs à considérer pour l’audit d’une entité faisant appel à une société de services)</w:t>
      </w:r>
      <w:r w:rsidR="00442A0D" w:rsidRPr="00442A0D">
        <w:rPr>
          <w:b/>
          <w:bCs/>
          <w:szCs w:val="24"/>
        </w:rPr>
        <w:t>.</w:t>
      </w:r>
    </w:p>
    <w:p w:rsidR="00442A0D" w:rsidRPr="00442A0D" w:rsidRDefault="00442A0D" w:rsidP="0089613C">
      <w:pPr>
        <w:pStyle w:val="Paragraphedeliste"/>
        <w:jc w:val="both"/>
        <w:rPr>
          <w:b/>
          <w:bCs/>
          <w:i/>
          <w:szCs w:val="24"/>
        </w:rPr>
      </w:pPr>
    </w:p>
    <w:p w:rsidR="000B0015" w:rsidRPr="00442A0D" w:rsidRDefault="000B0015" w:rsidP="0089613C">
      <w:pPr>
        <w:numPr>
          <w:ilvl w:val="0"/>
          <w:numId w:val="2"/>
        </w:numPr>
        <w:tabs>
          <w:tab w:val="clear" w:pos="1440"/>
          <w:tab w:val="num" w:pos="720"/>
        </w:tabs>
        <w:ind w:left="720"/>
        <w:jc w:val="both"/>
        <w:rPr>
          <w:b/>
          <w:bCs/>
          <w:szCs w:val="24"/>
          <w:u w:val="single"/>
        </w:rPr>
      </w:pPr>
      <w:r w:rsidRPr="00442A0D">
        <w:rPr>
          <w:b/>
          <w:bCs/>
          <w:i/>
          <w:szCs w:val="24"/>
        </w:rPr>
        <w:lastRenderedPageBreak/>
        <w:t>Déclarations écrites :</w:t>
      </w:r>
      <w:r w:rsidRPr="00442A0D">
        <w:rPr>
          <w:bCs/>
          <w:szCs w:val="24"/>
        </w:rPr>
        <w:t xml:space="preserve"> Dans le cadre du processus d'audit, l'auditeur doit obtenir des déclarations écrites de la direction et, le cas échéant, des responsables de la gouvernance, </w:t>
      </w:r>
      <w:r w:rsidR="00442A0D" w:rsidRPr="00442A0D">
        <w:rPr>
          <w:bCs/>
          <w:szCs w:val="24"/>
        </w:rPr>
        <w:t>en conformité avec la norme</w:t>
      </w:r>
      <w:r w:rsidRPr="00442A0D">
        <w:rPr>
          <w:b/>
          <w:bCs/>
          <w:szCs w:val="24"/>
          <w:u w:val="single"/>
        </w:rPr>
        <w:t>580</w:t>
      </w:r>
      <w:r w:rsidR="00442A0D" w:rsidRPr="00442A0D">
        <w:rPr>
          <w:b/>
          <w:bCs/>
          <w:szCs w:val="24"/>
          <w:u w:val="single"/>
        </w:rPr>
        <w:t xml:space="preserve"> (Déclarations écrites)</w:t>
      </w:r>
      <w:r w:rsidR="00442A0D" w:rsidRPr="00442A0D">
        <w:rPr>
          <w:b/>
          <w:bCs/>
          <w:szCs w:val="24"/>
        </w:rPr>
        <w:t xml:space="preserve">. </w:t>
      </w:r>
    </w:p>
    <w:p w:rsidR="00442A0D" w:rsidRPr="00442A0D" w:rsidRDefault="00442A0D" w:rsidP="0089613C">
      <w:pPr>
        <w:pStyle w:val="Paragraphedeliste"/>
        <w:jc w:val="both"/>
        <w:rPr>
          <w:b/>
          <w:bCs/>
          <w:szCs w:val="24"/>
          <w:u w:val="single"/>
        </w:rPr>
      </w:pPr>
    </w:p>
    <w:p w:rsidR="000B0015" w:rsidRPr="00442A0D" w:rsidRDefault="000B0015" w:rsidP="0089613C">
      <w:pPr>
        <w:numPr>
          <w:ilvl w:val="0"/>
          <w:numId w:val="2"/>
        </w:numPr>
        <w:tabs>
          <w:tab w:val="clear" w:pos="1440"/>
          <w:tab w:val="num" w:pos="720"/>
        </w:tabs>
        <w:ind w:left="720"/>
        <w:jc w:val="both"/>
        <w:rPr>
          <w:b/>
          <w:bCs/>
          <w:szCs w:val="24"/>
          <w:u w:val="single"/>
        </w:rPr>
      </w:pPr>
      <w:r w:rsidRPr="00442A0D">
        <w:rPr>
          <w:b/>
          <w:bCs/>
          <w:i/>
          <w:szCs w:val="24"/>
        </w:rPr>
        <w:t>Auditeur interne</w:t>
      </w:r>
      <w:r w:rsidRPr="00442A0D">
        <w:rPr>
          <w:bCs/>
          <w:szCs w:val="24"/>
        </w:rPr>
        <w:t> </w:t>
      </w:r>
      <w:r w:rsidR="00722859" w:rsidRPr="00442A0D">
        <w:rPr>
          <w:bCs/>
          <w:szCs w:val="24"/>
        </w:rPr>
        <w:t>: Lorsque</w:t>
      </w:r>
      <w:r w:rsidRPr="00442A0D">
        <w:rPr>
          <w:bCs/>
          <w:szCs w:val="24"/>
        </w:rPr>
        <w:t xml:space="preserve"> l'auditeur externe décide d'utiliser les travaux de la fonction d'audit interne </w:t>
      </w:r>
      <w:r w:rsidR="00442A0D">
        <w:rPr>
          <w:bCs/>
          <w:szCs w:val="24"/>
        </w:rPr>
        <w:t>du Projet</w:t>
      </w:r>
      <w:r w:rsidRPr="00442A0D">
        <w:rPr>
          <w:bCs/>
          <w:szCs w:val="24"/>
        </w:rPr>
        <w:t xml:space="preserve"> pour modifier la nature ou le calendrier des procédures d'audit à exécuter, la détermination </w:t>
      </w:r>
      <w:r w:rsidR="00442A0D">
        <w:rPr>
          <w:bCs/>
          <w:szCs w:val="24"/>
        </w:rPr>
        <w:t>doit être faite en conformité avec la norme</w:t>
      </w:r>
      <w:r w:rsidR="00442A0D" w:rsidRPr="00442A0D">
        <w:rPr>
          <w:b/>
          <w:bCs/>
          <w:szCs w:val="24"/>
          <w:u w:val="single"/>
        </w:rPr>
        <w:t>ISA</w:t>
      </w:r>
      <w:r w:rsidRPr="00442A0D">
        <w:rPr>
          <w:b/>
          <w:bCs/>
          <w:szCs w:val="24"/>
          <w:u w:val="single"/>
        </w:rPr>
        <w:t>610</w:t>
      </w:r>
      <w:r w:rsidR="00442A0D" w:rsidRPr="00442A0D">
        <w:rPr>
          <w:b/>
          <w:bCs/>
          <w:szCs w:val="24"/>
          <w:u w:val="single"/>
        </w:rPr>
        <w:t xml:space="preserve"> (Utilisation des travaux des auditeurs internes)</w:t>
      </w:r>
      <w:r w:rsidR="00442A0D" w:rsidRPr="00442A0D">
        <w:rPr>
          <w:bCs/>
          <w:szCs w:val="24"/>
        </w:rPr>
        <w:t>.</w:t>
      </w:r>
    </w:p>
    <w:p w:rsidR="00442A0D" w:rsidRPr="00442A0D" w:rsidRDefault="00442A0D" w:rsidP="0089613C">
      <w:pPr>
        <w:pStyle w:val="Paragraphedeliste"/>
        <w:jc w:val="both"/>
        <w:rPr>
          <w:b/>
          <w:bCs/>
          <w:szCs w:val="24"/>
          <w:u w:val="single"/>
        </w:rPr>
      </w:pPr>
    </w:p>
    <w:p w:rsidR="000B0015" w:rsidRPr="00442A0D" w:rsidRDefault="000B0015" w:rsidP="0089613C">
      <w:pPr>
        <w:numPr>
          <w:ilvl w:val="0"/>
          <w:numId w:val="2"/>
        </w:numPr>
        <w:tabs>
          <w:tab w:val="clear" w:pos="1440"/>
          <w:tab w:val="num" w:pos="720"/>
        </w:tabs>
        <w:ind w:left="720"/>
        <w:jc w:val="both"/>
        <w:rPr>
          <w:bCs/>
          <w:szCs w:val="24"/>
        </w:rPr>
      </w:pPr>
      <w:r w:rsidRPr="00442A0D">
        <w:rPr>
          <w:b/>
          <w:bCs/>
          <w:i/>
          <w:szCs w:val="24"/>
        </w:rPr>
        <w:t>Utilisation des experts</w:t>
      </w:r>
      <w:r w:rsidRPr="00442A0D">
        <w:rPr>
          <w:bCs/>
          <w:szCs w:val="24"/>
        </w:rPr>
        <w:t xml:space="preserve"> : </w:t>
      </w:r>
      <w:r w:rsidR="007B398E">
        <w:rPr>
          <w:bCs/>
          <w:szCs w:val="24"/>
        </w:rPr>
        <w:t>Afin de déterminer s’il convient d’</w:t>
      </w:r>
      <w:r w:rsidRPr="00442A0D">
        <w:rPr>
          <w:bCs/>
          <w:szCs w:val="24"/>
        </w:rPr>
        <w:t>utiliser</w:t>
      </w:r>
      <w:r w:rsidR="007B398E">
        <w:rPr>
          <w:bCs/>
          <w:szCs w:val="24"/>
        </w:rPr>
        <w:t xml:space="preserve"> ou non</w:t>
      </w:r>
      <w:r w:rsidRPr="00442A0D">
        <w:rPr>
          <w:bCs/>
          <w:szCs w:val="24"/>
        </w:rPr>
        <w:t xml:space="preserve"> les travaux de l’expert </w:t>
      </w:r>
      <w:r w:rsidR="007B398E">
        <w:rPr>
          <w:bCs/>
          <w:szCs w:val="24"/>
        </w:rPr>
        <w:t xml:space="preserve">désigné par </w:t>
      </w:r>
      <w:r w:rsidRPr="00442A0D">
        <w:rPr>
          <w:bCs/>
          <w:szCs w:val="24"/>
        </w:rPr>
        <w:t xml:space="preserve">l’auditeur ou </w:t>
      </w:r>
      <w:r w:rsidR="007B398E">
        <w:rPr>
          <w:bCs/>
          <w:szCs w:val="24"/>
        </w:rPr>
        <w:t xml:space="preserve">de </w:t>
      </w:r>
      <w:r w:rsidRPr="00442A0D">
        <w:rPr>
          <w:bCs/>
          <w:szCs w:val="24"/>
        </w:rPr>
        <w:t xml:space="preserve">déterminer dans quelle mesure </w:t>
      </w:r>
      <w:r w:rsidR="007B398E">
        <w:rPr>
          <w:bCs/>
          <w:szCs w:val="24"/>
        </w:rPr>
        <w:t xml:space="preserve">les travaux de </w:t>
      </w:r>
      <w:r w:rsidRPr="00442A0D">
        <w:rPr>
          <w:bCs/>
          <w:szCs w:val="24"/>
        </w:rPr>
        <w:t xml:space="preserve">celui-ci </w:t>
      </w:r>
      <w:r w:rsidR="007B398E">
        <w:rPr>
          <w:bCs/>
          <w:szCs w:val="24"/>
        </w:rPr>
        <w:t xml:space="preserve">sont </w:t>
      </w:r>
      <w:r w:rsidRPr="00442A0D">
        <w:rPr>
          <w:bCs/>
          <w:szCs w:val="24"/>
        </w:rPr>
        <w:t xml:space="preserve">adéquat aux fins de l’audit, </w:t>
      </w:r>
      <w:r w:rsidR="007B398E">
        <w:rPr>
          <w:bCs/>
          <w:szCs w:val="24"/>
        </w:rPr>
        <w:t xml:space="preserve">l’auditeur se réfère </w:t>
      </w:r>
      <w:r w:rsidRPr="00442A0D">
        <w:rPr>
          <w:bCs/>
          <w:szCs w:val="24"/>
        </w:rPr>
        <w:t xml:space="preserve">à la norme </w:t>
      </w:r>
      <w:r w:rsidR="00442A0D" w:rsidRPr="00442A0D">
        <w:rPr>
          <w:b/>
          <w:bCs/>
          <w:szCs w:val="24"/>
          <w:u w:val="single"/>
        </w:rPr>
        <w:t xml:space="preserve">ISA </w:t>
      </w:r>
      <w:r w:rsidRPr="00442A0D">
        <w:rPr>
          <w:b/>
          <w:bCs/>
          <w:szCs w:val="24"/>
          <w:u w:val="single"/>
        </w:rPr>
        <w:t>620</w:t>
      </w:r>
      <w:r w:rsidR="00442A0D" w:rsidRPr="00442A0D">
        <w:rPr>
          <w:b/>
          <w:u w:val="single"/>
        </w:rPr>
        <w:t xml:space="preserve"> (</w:t>
      </w:r>
      <w:r w:rsidR="00442A0D" w:rsidRPr="00442A0D">
        <w:rPr>
          <w:b/>
          <w:bCs/>
          <w:szCs w:val="24"/>
          <w:u w:val="single"/>
        </w:rPr>
        <w:t>Utilisation des travaux d’un expert désigné par l’auditeur)</w:t>
      </w:r>
      <w:r w:rsidR="00442A0D">
        <w:rPr>
          <w:bCs/>
          <w:szCs w:val="24"/>
        </w:rPr>
        <w:t>.</w:t>
      </w:r>
    </w:p>
    <w:p w:rsidR="000B0015" w:rsidRPr="007B398E" w:rsidRDefault="007B398E" w:rsidP="0089613C">
      <w:pPr>
        <w:pStyle w:val="Corpsdetexte"/>
        <w:spacing w:after="0"/>
        <w:rPr>
          <w:bCs/>
          <w:szCs w:val="24"/>
        </w:rPr>
      </w:pPr>
      <w:r w:rsidRPr="007B398E">
        <w:rPr>
          <w:bCs/>
          <w:szCs w:val="24"/>
        </w:rPr>
        <w:t xml:space="preserve">Afin d’attester de la conformité </w:t>
      </w:r>
      <w:r>
        <w:rPr>
          <w:bCs/>
          <w:szCs w:val="24"/>
        </w:rPr>
        <w:t xml:space="preserve">du Projet </w:t>
      </w:r>
      <w:r w:rsidRPr="007B398E">
        <w:rPr>
          <w:bCs/>
          <w:szCs w:val="24"/>
        </w:rPr>
        <w:t xml:space="preserve">avec </w:t>
      </w:r>
      <w:r w:rsidR="00097A33">
        <w:rPr>
          <w:bCs/>
          <w:szCs w:val="24"/>
        </w:rPr>
        <w:t xml:space="preserve">les </w:t>
      </w:r>
      <w:r w:rsidR="00A43D6B" w:rsidRPr="00A43D6B">
        <w:rPr>
          <w:bCs/>
          <w:szCs w:val="24"/>
        </w:rPr>
        <w:t>dispositions des accords de financement</w:t>
      </w:r>
      <w:r w:rsidR="00097A33">
        <w:rPr>
          <w:bCs/>
          <w:szCs w:val="24"/>
        </w:rPr>
        <w:t xml:space="preserve"> applicables</w:t>
      </w:r>
      <w:r w:rsidRPr="007B398E">
        <w:rPr>
          <w:bCs/>
          <w:szCs w:val="24"/>
        </w:rPr>
        <w:t xml:space="preserve">, l’auditeur met en œuvre les diligences </w:t>
      </w:r>
      <w:r>
        <w:rPr>
          <w:bCs/>
          <w:szCs w:val="24"/>
        </w:rPr>
        <w:t xml:space="preserve">appropriées visant à s’assurer que : </w:t>
      </w:r>
    </w:p>
    <w:p w:rsidR="00542697" w:rsidRDefault="00542697" w:rsidP="0089613C">
      <w:pPr>
        <w:pStyle w:val="Corpsdetexte"/>
        <w:spacing w:after="0"/>
        <w:rPr>
          <w:b/>
          <w:bCs/>
          <w:sz w:val="28"/>
          <w:szCs w:val="24"/>
          <w:u w:val="single"/>
        </w:rPr>
      </w:pPr>
    </w:p>
    <w:p w:rsidR="00542697" w:rsidRPr="005A5AB4" w:rsidRDefault="00542697" w:rsidP="0089613C">
      <w:pPr>
        <w:pStyle w:val="Corpsdetexte"/>
        <w:numPr>
          <w:ilvl w:val="0"/>
          <w:numId w:val="1"/>
        </w:numPr>
        <w:spacing w:after="0"/>
        <w:rPr>
          <w:szCs w:val="24"/>
        </w:rPr>
      </w:pPr>
      <w:r>
        <w:rPr>
          <w:szCs w:val="24"/>
        </w:rPr>
        <w:t>t</w:t>
      </w:r>
      <w:r w:rsidRPr="007E3805">
        <w:rPr>
          <w:szCs w:val="24"/>
        </w:rPr>
        <w:t>outes les ressources de la Banque  ont été employées conformément aux dispositions des accords de financement applicables, dans un souci d’économie et d’efficience, et uniquement aux fins pour lesquelles elles ont été fournies ;</w:t>
      </w:r>
    </w:p>
    <w:p w:rsidR="00542697" w:rsidRPr="007E3805" w:rsidRDefault="00542697" w:rsidP="0089613C">
      <w:pPr>
        <w:pStyle w:val="Corpsdetexte"/>
        <w:spacing w:after="0"/>
        <w:ind w:left="765"/>
        <w:rPr>
          <w:szCs w:val="24"/>
        </w:rPr>
      </w:pPr>
    </w:p>
    <w:p w:rsidR="00542697" w:rsidRPr="007E3805" w:rsidRDefault="00542697" w:rsidP="0089613C">
      <w:pPr>
        <w:pStyle w:val="Corpsdetexte"/>
        <w:spacing w:after="0"/>
        <w:ind w:left="765"/>
        <w:rPr>
          <w:szCs w:val="24"/>
        </w:rPr>
      </w:pPr>
    </w:p>
    <w:p w:rsidR="00542697" w:rsidRPr="005A5AB4" w:rsidRDefault="00542697" w:rsidP="0089613C">
      <w:pPr>
        <w:pStyle w:val="Corpsdetexte"/>
        <w:numPr>
          <w:ilvl w:val="0"/>
          <w:numId w:val="1"/>
        </w:numPr>
        <w:spacing w:after="0"/>
        <w:rPr>
          <w:szCs w:val="24"/>
        </w:rPr>
      </w:pPr>
      <w:r>
        <w:rPr>
          <w:szCs w:val="24"/>
        </w:rPr>
        <w:t>l</w:t>
      </w:r>
      <w:r w:rsidRPr="007E3805">
        <w:rPr>
          <w:szCs w:val="24"/>
        </w:rPr>
        <w:t>es acquisitions des biens et services financés ont fait l’objet de marchés passés conformément aux dispositions des accords de financement applicables fondés sur les procédures de passation de marché de la Banque Mondiale et ont été correctement enregistrées dans les livres comptables ;</w:t>
      </w:r>
    </w:p>
    <w:p w:rsidR="00542697" w:rsidRPr="007E3805" w:rsidRDefault="00542697" w:rsidP="0089613C">
      <w:pPr>
        <w:pStyle w:val="Corpsdetexte"/>
        <w:spacing w:after="0"/>
        <w:ind w:left="765"/>
        <w:rPr>
          <w:szCs w:val="24"/>
        </w:rPr>
      </w:pPr>
    </w:p>
    <w:p w:rsidR="00542697" w:rsidRPr="005A5AB4" w:rsidRDefault="00D41FE9" w:rsidP="0089613C">
      <w:pPr>
        <w:pStyle w:val="Corpsdetexte"/>
        <w:numPr>
          <w:ilvl w:val="0"/>
          <w:numId w:val="1"/>
        </w:numPr>
        <w:spacing w:after="0"/>
        <w:rPr>
          <w:szCs w:val="24"/>
        </w:rPr>
      </w:pPr>
      <w:r>
        <w:rPr>
          <w:szCs w:val="24"/>
        </w:rPr>
        <w:t>Tous</w:t>
      </w:r>
      <w:r w:rsidR="00542697" w:rsidRPr="007E3805">
        <w:rPr>
          <w:szCs w:val="24"/>
        </w:rPr>
        <w:t xml:space="preserve"> les dossiers, comptes et écritures nécessaires au titre des différentes opérations relatives au Projet (y compris les dépenses couvertes par des relevés de dépenses ou des rapports de suivi financier) ont été correctement tenus et archivés ;  </w:t>
      </w:r>
    </w:p>
    <w:p w:rsidR="00542697" w:rsidRPr="007E3805" w:rsidRDefault="00542697" w:rsidP="0089613C">
      <w:pPr>
        <w:pStyle w:val="Corpsdetexte"/>
        <w:spacing w:after="0"/>
        <w:rPr>
          <w:szCs w:val="24"/>
        </w:rPr>
      </w:pPr>
    </w:p>
    <w:p w:rsidR="00542697" w:rsidRPr="005A5AB4" w:rsidRDefault="00D41FE9" w:rsidP="0089613C">
      <w:pPr>
        <w:pStyle w:val="Corpsdetexte"/>
        <w:numPr>
          <w:ilvl w:val="0"/>
          <w:numId w:val="1"/>
        </w:numPr>
        <w:spacing w:after="0"/>
        <w:rPr>
          <w:szCs w:val="24"/>
        </w:rPr>
      </w:pPr>
      <w:r>
        <w:rPr>
          <w:szCs w:val="24"/>
        </w:rPr>
        <w:t>Les</w:t>
      </w:r>
      <w:r w:rsidR="00542697" w:rsidRPr="007E3805">
        <w:rPr>
          <w:szCs w:val="24"/>
        </w:rPr>
        <w:t xml:space="preserve"> Comptes Désignés sont gérés eu égard aux dispositi</w:t>
      </w:r>
      <w:r w:rsidR="00542697">
        <w:rPr>
          <w:szCs w:val="24"/>
        </w:rPr>
        <w:t>ons des accords de financement ;</w:t>
      </w:r>
    </w:p>
    <w:p w:rsidR="00542697" w:rsidRPr="007E3805" w:rsidRDefault="00542697" w:rsidP="0089613C">
      <w:pPr>
        <w:pStyle w:val="Corpsdetexte"/>
        <w:spacing w:after="0"/>
        <w:rPr>
          <w:szCs w:val="24"/>
        </w:rPr>
      </w:pPr>
    </w:p>
    <w:p w:rsidR="00542697" w:rsidRPr="005A5AB4" w:rsidRDefault="00D41FE9" w:rsidP="0089613C">
      <w:pPr>
        <w:pStyle w:val="Corpsdetexte"/>
        <w:numPr>
          <w:ilvl w:val="0"/>
          <w:numId w:val="1"/>
        </w:numPr>
        <w:spacing w:after="0"/>
        <w:rPr>
          <w:szCs w:val="24"/>
        </w:rPr>
      </w:pPr>
      <w:r>
        <w:rPr>
          <w:szCs w:val="24"/>
        </w:rPr>
        <w:t>Les</w:t>
      </w:r>
      <w:r w:rsidR="00542697" w:rsidRPr="007E3805">
        <w:rPr>
          <w:szCs w:val="24"/>
        </w:rPr>
        <w:t xml:space="preserve"> actifs immobilisés du Projet sont réels et correctement évalués et le droit de propriété du Projet ou des bénéficiaires sur ces actifs est établi en conformi</w:t>
      </w:r>
      <w:r w:rsidR="00542697">
        <w:rPr>
          <w:szCs w:val="24"/>
        </w:rPr>
        <w:t>té avec l’accord de financement ;</w:t>
      </w:r>
    </w:p>
    <w:p w:rsidR="00542697" w:rsidRPr="007E3805" w:rsidRDefault="00542697" w:rsidP="0089613C">
      <w:pPr>
        <w:pStyle w:val="Corpsdetexte"/>
        <w:spacing w:after="0"/>
        <w:rPr>
          <w:szCs w:val="24"/>
        </w:rPr>
      </w:pPr>
    </w:p>
    <w:p w:rsidR="00542697" w:rsidRPr="005A5AB4" w:rsidRDefault="00D41FE9" w:rsidP="0089613C">
      <w:pPr>
        <w:pStyle w:val="Corpsdetexte"/>
        <w:numPr>
          <w:ilvl w:val="0"/>
          <w:numId w:val="1"/>
        </w:numPr>
        <w:spacing w:after="0"/>
        <w:rPr>
          <w:szCs w:val="24"/>
        </w:rPr>
      </w:pPr>
      <w:r>
        <w:rPr>
          <w:szCs w:val="24"/>
        </w:rPr>
        <w:t>Les</w:t>
      </w:r>
      <w:r w:rsidR="00542697" w:rsidRPr="007E3805">
        <w:rPr>
          <w:szCs w:val="24"/>
        </w:rPr>
        <w:t xml:space="preserve"> dépenses inéligibles dans les demandes de remboursement de fonds identifiées lors de l’audit ont été remboursées au Compte Désigné.  Ces dépenses feront l’objet d’une note séparée dans le rapport d’audit</w:t>
      </w:r>
    </w:p>
    <w:p w:rsidR="00542697" w:rsidRDefault="00542697" w:rsidP="0089613C">
      <w:pPr>
        <w:pStyle w:val="Corpsdetexte"/>
        <w:spacing w:after="0"/>
        <w:rPr>
          <w:b/>
          <w:bCs/>
          <w:sz w:val="28"/>
          <w:szCs w:val="24"/>
          <w:u w:val="single"/>
        </w:rPr>
      </w:pPr>
    </w:p>
    <w:p w:rsidR="001934D8" w:rsidRDefault="001934D8" w:rsidP="0089613C">
      <w:pPr>
        <w:pStyle w:val="Corpsdetexte"/>
        <w:spacing w:after="0"/>
        <w:rPr>
          <w:b/>
          <w:bCs/>
          <w:sz w:val="28"/>
          <w:szCs w:val="24"/>
          <w:u w:val="single"/>
        </w:rPr>
      </w:pPr>
    </w:p>
    <w:p w:rsidR="001934D8" w:rsidRDefault="001934D8" w:rsidP="0089613C">
      <w:pPr>
        <w:pStyle w:val="Corpsdetexte"/>
        <w:spacing w:after="0"/>
        <w:rPr>
          <w:b/>
          <w:bCs/>
          <w:sz w:val="28"/>
          <w:szCs w:val="24"/>
          <w:u w:val="single"/>
        </w:rPr>
      </w:pPr>
    </w:p>
    <w:p w:rsidR="001934D8" w:rsidRPr="003C42F9" w:rsidRDefault="001934D8" w:rsidP="0089613C">
      <w:pPr>
        <w:pStyle w:val="Corpsdetexte"/>
        <w:spacing w:after="0"/>
        <w:rPr>
          <w:b/>
          <w:bCs/>
          <w:sz w:val="28"/>
          <w:szCs w:val="24"/>
          <w:u w:val="single"/>
        </w:rPr>
      </w:pPr>
    </w:p>
    <w:p w:rsidR="00555F0E" w:rsidRPr="003C42F9" w:rsidRDefault="00555F0E" w:rsidP="0089613C">
      <w:pPr>
        <w:pStyle w:val="Paragraphedeliste"/>
        <w:numPr>
          <w:ilvl w:val="0"/>
          <w:numId w:val="8"/>
        </w:numPr>
        <w:spacing w:line="276" w:lineRule="auto"/>
        <w:ind w:left="567" w:hanging="567"/>
        <w:jc w:val="both"/>
        <w:rPr>
          <w:b/>
          <w:bCs/>
          <w:caps/>
          <w:szCs w:val="24"/>
          <w:u w:val="single"/>
        </w:rPr>
      </w:pPr>
      <w:r w:rsidRPr="003C42F9">
        <w:rPr>
          <w:b/>
          <w:bCs/>
          <w:caps/>
          <w:szCs w:val="24"/>
          <w:u w:val="single"/>
        </w:rPr>
        <w:t>EtatS financiers DU PROJET</w:t>
      </w:r>
    </w:p>
    <w:p w:rsidR="00555F0E" w:rsidRDefault="00555F0E" w:rsidP="0089613C">
      <w:pPr>
        <w:pStyle w:val="Corpsdetexte"/>
        <w:spacing w:after="0"/>
        <w:rPr>
          <w:b/>
          <w:bCs/>
          <w:caps/>
          <w:szCs w:val="24"/>
          <w:u w:val="single"/>
        </w:rPr>
      </w:pPr>
    </w:p>
    <w:p w:rsidR="00555F0E" w:rsidRPr="007E3805" w:rsidRDefault="00555F0E" w:rsidP="0089613C">
      <w:pPr>
        <w:tabs>
          <w:tab w:val="left" w:pos="720"/>
        </w:tabs>
        <w:autoSpaceDE w:val="0"/>
        <w:autoSpaceDN w:val="0"/>
        <w:adjustRightInd w:val="0"/>
        <w:jc w:val="both"/>
        <w:rPr>
          <w:color w:val="000000"/>
        </w:rPr>
      </w:pPr>
      <w:r w:rsidRPr="007E3805">
        <w:rPr>
          <w:color w:val="000000"/>
        </w:rPr>
        <w:lastRenderedPageBreak/>
        <w:t xml:space="preserve">L’auditeur vérifiera que les états financiers du projet ont été préparés en accord avec </w:t>
      </w:r>
      <w:r w:rsidRPr="007E3805">
        <w:rPr>
          <w:bCs/>
          <w:szCs w:val="24"/>
        </w:rPr>
        <w:t xml:space="preserve">les principes du Système Comptable en vigueur dans l’espace OHADA </w:t>
      </w:r>
      <w:r w:rsidRPr="007E3805">
        <w:rPr>
          <w:color w:val="000000"/>
        </w:rPr>
        <w:t>et donnent une image fidèle de la situation financière du Projet à la date de clôture ainsi que les ressources et les dépenses à cette date.</w:t>
      </w:r>
    </w:p>
    <w:p w:rsidR="007B398E" w:rsidRDefault="007B398E" w:rsidP="0089613C">
      <w:pPr>
        <w:jc w:val="both"/>
        <w:rPr>
          <w:bCs/>
        </w:rPr>
      </w:pPr>
    </w:p>
    <w:p w:rsidR="00555F0E" w:rsidRPr="007E3805" w:rsidRDefault="00555F0E" w:rsidP="0089613C">
      <w:pPr>
        <w:jc w:val="both"/>
        <w:rPr>
          <w:bCs/>
        </w:rPr>
      </w:pPr>
      <w:r w:rsidRPr="007E3805">
        <w:rPr>
          <w:bCs/>
        </w:rPr>
        <w:t>Les états financiers du Projet devraient comprendre :</w:t>
      </w:r>
    </w:p>
    <w:p w:rsidR="00555F0E" w:rsidRPr="007E3805" w:rsidRDefault="00555F0E" w:rsidP="0089613C">
      <w:pPr>
        <w:ind w:left="720"/>
        <w:jc w:val="both"/>
        <w:rPr>
          <w:bCs/>
        </w:rPr>
      </w:pPr>
    </w:p>
    <w:p w:rsidR="00555F0E" w:rsidRPr="007E3805" w:rsidRDefault="00D41FE9" w:rsidP="0089613C">
      <w:pPr>
        <w:numPr>
          <w:ilvl w:val="0"/>
          <w:numId w:val="3"/>
        </w:numPr>
        <w:jc w:val="both"/>
        <w:rPr>
          <w:bCs/>
        </w:rPr>
      </w:pPr>
      <w:r>
        <w:rPr>
          <w:bCs/>
        </w:rPr>
        <w:t>Un</w:t>
      </w:r>
      <w:r w:rsidR="00555F0E" w:rsidRPr="007E3805">
        <w:rPr>
          <w:bCs/>
        </w:rPr>
        <w:t xml:space="preserve"> état des ressources (fonds reçus de l’IDA,  </w:t>
      </w:r>
      <w:r w:rsidR="0008075F">
        <w:rPr>
          <w:bCs/>
        </w:rPr>
        <w:t>autres sources, etc</w:t>
      </w:r>
      <w:r w:rsidR="00555F0E" w:rsidRPr="007E3805">
        <w:rPr>
          <w:bCs/>
        </w:rPr>
        <w:t>.) et des emplois (dépenses engagées au cours de l’exercice considéré)</w:t>
      </w:r>
      <w:r w:rsidR="007B398E">
        <w:rPr>
          <w:bCs/>
        </w:rPr>
        <w:t> ;</w:t>
      </w:r>
    </w:p>
    <w:p w:rsidR="00555F0E" w:rsidRPr="007E3805" w:rsidRDefault="00555F0E" w:rsidP="0089613C">
      <w:pPr>
        <w:ind w:left="720"/>
        <w:jc w:val="both"/>
        <w:rPr>
          <w:bCs/>
          <w:sz w:val="18"/>
        </w:rPr>
      </w:pPr>
    </w:p>
    <w:p w:rsidR="00555F0E" w:rsidRDefault="00D41FE9" w:rsidP="0089613C">
      <w:pPr>
        <w:numPr>
          <w:ilvl w:val="0"/>
          <w:numId w:val="3"/>
        </w:numPr>
        <w:tabs>
          <w:tab w:val="num" w:pos="1080"/>
        </w:tabs>
        <w:jc w:val="both"/>
        <w:rPr>
          <w:bCs/>
        </w:rPr>
      </w:pPr>
      <w:r>
        <w:rPr>
          <w:bCs/>
        </w:rPr>
        <w:t>Une</w:t>
      </w:r>
      <w:r w:rsidR="00555F0E" w:rsidRPr="007E3805">
        <w:rPr>
          <w:bCs/>
        </w:rPr>
        <w:t xml:space="preserve"> situation patrimoniale indiquant les fonds cumulés du Projet, les soldes bancaires, l</w:t>
      </w:r>
      <w:r w:rsidR="00555F0E">
        <w:rPr>
          <w:bCs/>
        </w:rPr>
        <w:t>es autres actifs et passifs du P</w:t>
      </w:r>
      <w:r w:rsidR="00555F0E" w:rsidRPr="007E3805">
        <w:rPr>
          <w:bCs/>
        </w:rPr>
        <w:t xml:space="preserve">rojet et les engagements, le cas échéant ; </w:t>
      </w:r>
    </w:p>
    <w:p w:rsidR="007B398E" w:rsidRPr="007E3805" w:rsidRDefault="007B398E" w:rsidP="0089613C">
      <w:pPr>
        <w:jc w:val="both"/>
        <w:rPr>
          <w:bCs/>
          <w:sz w:val="20"/>
        </w:rPr>
      </w:pPr>
    </w:p>
    <w:p w:rsidR="007B398E" w:rsidRPr="007E3805" w:rsidRDefault="00D41FE9" w:rsidP="0089613C">
      <w:pPr>
        <w:numPr>
          <w:ilvl w:val="0"/>
          <w:numId w:val="3"/>
        </w:numPr>
        <w:tabs>
          <w:tab w:val="num" w:pos="1080"/>
        </w:tabs>
        <w:jc w:val="both"/>
        <w:rPr>
          <w:bCs/>
        </w:rPr>
      </w:pPr>
      <w:r>
        <w:rPr>
          <w:bCs/>
        </w:rPr>
        <w:t>Un</w:t>
      </w:r>
      <w:r w:rsidR="007B398E" w:rsidRPr="007E3805">
        <w:rPr>
          <w:bCs/>
        </w:rPr>
        <w:t xml:space="preserve"> état </w:t>
      </w:r>
      <w:r w:rsidR="00CA618C">
        <w:rPr>
          <w:bCs/>
        </w:rPr>
        <w:t xml:space="preserve">de </w:t>
      </w:r>
      <w:r w:rsidR="007B398E">
        <w:rPr>
          <w:bCs/>
        </w:rPr>
        <w:t>réconciliation</w:t>
      </w:r>
      <w:r w:rsidR="00CA618C">
        <w:rPr>
          <w:bCs/>
        </w:rPr>
        <w:t xml:space="preserve"> des transactions</w:t>
      </w:r>
      <w:r w:rsidR="007B398E" w:rsidRPr="007E3805">
        <w:rPr>
          <w:bCs/>
        </w:rPr>
        <w:t xml:space="preserve"> du Compte Désigné, </w:t>
      </w:r>
    </w:p>
    <w:p w:rsidR="007B398E" w:rsidRPr="007E3805" w:rsidRDefault="007B398E" w:rsidP="0089613C">
      <w:pPr>
        <w:tabs>
          <w:tab w:val="num" w:pos="1080"/>
        </w:tabs>
        <w:ind w:left="1440"/>
        <w:jc w:val="both"/>
        <w:rPr>
          <w:bCs/>
        </w:rPr>
      </w:pPr>
    </w:p>
    <w:p w:rsidR="00555F0E" w:rsidRPr="007E3805" w:rsidRDefault="00555F0E" w:rsidP="0089613C">
      <w:pPr>
        <w:ind w:left="720"/>
        <w:jc w:val="both"/>
        <w:rPr>
          <w:bCs/>
          <w:sz w:val="14"/>
        </w:rPr>
      </w:pPr>
    </w:p>
    <w:p w:rsidR="00555F0E" w:rsidRPr="007E3805" w:rsidRDefault="00D41FE9" w:rsidP="0089613C">
      <w:pPr>
        <w:numPr>
          <w:ilvl w:val="0"/>
          <w:numId w:val="3"/>
        </w:numPr>
        <w:tabs>
          <w:tab w:val="num" w:pos="1080"/>
        </w:tabs>
        <w:jc w:val="both"/>
        <w:rPr>
          <w:bCs/>
        </w:rPr>
      </w:pPr>
      <w:r>
        <w:rPr>
          <w:bCs/>
        </w:rPr>
        <w:t>Les</w:t>
      </w:r>
      <w:r w:rsidR="00555F0E" w:rsidRPr="007E3805">
        <w:rPr>
          <w:bCs/>
        </w:rPr>
        <w:t xml:space="preserve"> notes sur les états financiers décrivant les principes comptables utilisés et présentant une analyse détaillée et expliquée des principaux comptes ;</w:t>
      </w:r>
    </w:p>
    <w:p w:rsidR="00555F0E" w:rsidRPr="007E3805" w:rsidRDefault="00555F0E" w:rsidP="0089613C">
      <w:pPr>
        <w:jc w:val="both"/>
        <w:rPr>
          <w:bCs/>
          <w:sz w:val="18"/>
        </w:rPr>
      </w:pPr>
    </w:p>
    <w:p w:rsidR="00555F0E" w:rsidRDefault="00D41FE9" w:rsidP="0089613C">
      <w:pPr>
        <w:numPr>
          <w:ilvl w:val="0"/>
          <w:numId w:val="3"/>
        </w:numPr>
        <w:tabs>
          <w:tab w:val="num" w:pos="1080"/>
        </w:tabs>
        <w:jc w:val="both"/>
        <w:rPr>
          <w:bCs/>
        </w:rPr>
      </w:pPr>
      <w:r>
        <w:rPr>
          <w:bCs/>
        </w:rPr>
        <w:t>L</w:t>
      </w:r>
      <w:r w:rsidR="00555F0E" w:rsidRPr="007E3805">
        <w:rPr>
          <w:bCs/>
        </w:rPr>
        <w:t>a liste des actifs immobilisés acquis ou achetés par les fonds du Projet</w:t>
      </w:r>
      <w:r w:rsidR="00CA618C">
        <w:rPr>
          <w:bCs/>
        </w:rPr>
        <w:t> ; et</w:t>
      </w:r>
    </w:p>
    <w:p w:rsidR="00555F0E" w:rsidRDefault="00555F0E" w:rsidP="0089613C">
      <w:pPr>
        <w:pStyle w:val="Paragraphedeliste"/>
        <w:jc w:val="both"/>
        <w:rPr>
          <w:bCs/>
        </w:rPr>
      </w:pPr>
    </w:p>
    <w:p w:rsidR="00555F0E" w:rsidRPr="007E3805" w:rsidRDefault="00D41FE9" w:rsidP="0089613C">
      <w:pPr>
        <w:numPr>
          <w:ilvl w:val="0"/>
          <w:numId w:val="3"/>
        </w:numPr>
        <w:tabs>
          <w:tab w:val="num" w:pos="1080"/>
        </w:tabs>
        <w:jc w:val="both"/>
        <w:rPr>
          <w:bCs/>
        </w:rPr>
      </w:pPr>
      <w:r>
        <w:rPr>
          <w:bCs/>
        </w:rPr>
        <w:t>Un</w:t>
      </w:r>
      <w:r w:rsidR="00555F0E">
        <w:rPr>
          <w:bCs/>
        </w:rPr>
        <w:t xml:space="preserve"> état de réconciliation des fonds reçus par le Projet en provenance de la Banque </w:t>
      </w:r>
      <w:r w:rsidR="00097A33">
        <w:rPr>
          <w:bCs/>
        </w:rPr>
        <w:t>m</w:t>
      </w:r>
      <w:r w:rsidR="00555F0E">
        <w:rPr>
          <w:bCs/>
        </w:rPr>
        <w:t xml:space="preserve">ondiale d’une part et les fonds décaissés par la Banque </w:t>
      </w:r>
      <w:r w:rsidR="00097A33">
        <w:rPr>
          <w:bCs/>
        </w:rPr>
        <w:t>m</w:t>
      </w:r>
      <w:r w:rsidR="00555F0E">
        <w:rPr>
          <w:bCs/>
        </w:rPr>
        <w:t>ondiale d’autre part</w:t>
      </w:r>
      <w:r w:rsidR="00555F0E" w:rsidRPr="007E3805">
        <w:rPr>
          <w:bCs/>
        </w:rPr>
        <w:t>.</w:t>
      </w:r>
    </w:p>
    <w:p w:rsidR="00555F0E" w:rsidRPr="005A5AB4" w:rsidRDefault="00555F0E" w:rsidP="0089613C">
      <w:pPr>
        <w:pStyle w:val="Corpsdetexte"/>
        <w:spacing w:after="0"/>
        <w:rPr>
          <w:b/>
          <w:bCs/>
          <w:caps/>
          <w:szCs w:val="24"/>
          <w:u w:val="single"/>
        </w:rPr>
      </w:pPr>
    </w:p>
    <w:p w:rsidR="00555F0E" w:rsidRPr="003C42F9" w:rsidRDefault="00555F0E" w:rsidP="0089613C">
      <w:pPr>
        <w:pStyle w:val="Paragraphedeliste"/>
        <w:numPr>
          <w:ilvl w:val="0"/>
          <w:numId w:val="8"/>
        </w:numPr>
        <w:spacing w:line="276" w:lineRule="auto"/>
        <w:ind w:left="567" w:hanging="567"/>
        <w:jc w:val="both"/>
        <w:rPr>
          <w:b/>
          <w:bCs/>
          <w:caps/>
          <w:szCs w:val="24"/>
          <w:u w:val="single"/>
        </w:rPr>
      </w:pPr>
      <w:r w:rsidRPr="003C42F9">
        <w:rPr>
          <w:b/>
          <w:color w:val="000000"/>
          <w:u w:val="single"/>
        </w:rPr>
        <w:t xml:space="preserve">ETATS CERTIFIES DE DEPENSES (ECDs) </w:t>
      </w:r>
    </w:p>
    <w:p w:rsidR="00555F0E" w:rsidRDefault="00555F0E" w:rsidP="0089613C">
      <w:pPr>
        <w:pStyle w:val="Corpsdetexte"/>
        <w:spacing w:after="0"/>
        <w:rPr>
          <w:b/>
          <w:color w:val="000000"/>
          <w:u w:val="single"/>
        </w:rPr>
      </w:pPr>
    </w:p>
    <w:p w:rsidR="00555F0E" w:rsidRDefault="00555F0E" w:rsidP="0089613C">
      <w:pPr>
        <w:tabs>
          <w:tab w:val="left" w:pos="720"/>
        </w:tabs>
        <w:autoSpaceDE w:val="0"/>
        <w:autoSpaceDN w:val="0"/>
        <w:adjustRightInd w:val="0"/>
        <w:jc w:val="both"/>
        <w:rPr>
          <w:color w:val="000000"/>
        </w:rPr>
      </w:pPr>
      <w:r w:rsidRPr="007E3805">
        <w:rPr>
          <w:color w:val="000000"/>
        </w:rPr>
        <w:t>En plus de l’audit des états financiers, l’auditeur devra vérifier les états certifiés de dépenses</w:t>
      </w:r>
      <w:r w:rsidR="00CA618C">
        <w:rPr>
          <w:color w:val="000000"/>
        </w:rPr>
        <w:t xml:space="preserve"> (ECD)</w:t>
      </w:r>
      <w:r w:rsidRPr="007E3805">
        <w:rPr>
          <w:color w:val="000000"/>
        </w:rPr>
        <w:t xml:space="preserve"> ou les rapports de suivi financiers</w:t>
      </w:r>
      <w:r w:rsidR="00CA618C">
        <w:rPr>
          <w:color w:val="000000"/>
        </w:rPr>
        <w:t xml:space="preserve"> (RSF)</w:t>
      </w:r>
      <w:r w:rsidRPr="007E3805">
        <w:rPr>
          <w:color w:val="000000"/>
        </w:rPr>
        <w:t xml:space="preserve"> utilisés comme base de demande de remboursement de fonds à la Banque </w:t>
      </w:r>
      <w:r w:rsidR="00097A33">
        <w:rPr>
          <w:color w:val="000000"/>
        </w:rPr>
        <w:t>m</w:t>
      </w:r>
      <w:r w:rsidRPr="007E3805">
        <w:rPr>
          <w:color w:val="000000"/>
        </w:rPr>
        <w:t xml:space="preserve">ondiale. L’auditeur effectuera les tests, procédures d’audit et vérification considérés nécessaires au regard des circonstances. Il sera </w:t>
      </w:r>
      <w:r w:rsidR="00CA618C" w:rsidRPr="007E3805">
        <w:rPr>
          <w:color w:val="000000"/>
        </w:rPr>
        <w:t>inclus</w:t>
      </w:r>
      <w:r w:rsidR="00097A33">
        <w:rPr>
          <w:color w:val="000000"/>
        </w:rPr>
        <w:t xml:space="preserve">en annexe </w:t>
      </w:r>
      <w:r w:rsidRPr="007E3805">
        <w:rPr>
          <w:color w:val="000000"/>
        </w:rPr>
        <w:t xml:space="preserve">aux états financiers, </w:t>
      </w:r>
      <w:r w:rsidR="00097A33">
        <w:rPr>
          <w:color w:val="000000"/>
        </w:rPr>
        <w:t>la</w:t>
      </w:r>
      <w:r w:rsidRPr="007E3805">
        <w:rPr>
          <w:color w:val="000000"/>
        </w:rPr>
        <w:t xml:space="preserve"> liste des états certifiés de dépenses</w:t>
      </w:r>
      <w:r w:rsidR="00CA618C">
        <w:rPr>
          <w:color w:val="000000"/>
        </w:rPr>
        <w:t xml:space="preserve"> ayant servi de</w:t>
      </w:r>
      <w:r w:rsidRPr="007E3805">
        <w:rPr>
          <w:color w:val="000000"/>
        </w:rPr>
        <w:t xml:space="preserve"> base de demande de remboursement avec les références spécifiques relatives au montant et à la séquentialité numérique.</w:t>
      </w:r>
    </w:p>
    <w:p w:rsidR="00F9525D" w:rsidRDefault="00F9525D" w:rsidP="0089613C">
      <w:pPr>
        <w:tabs>
          <w:tab w:val="left" w:pos="720"/>
        </w:tabs>
        <w:autoSpaceDE w:val="0"/>
        <w:autoSpaceDN w:val="0"/>
        <w:adjustRightInd w:val="0"/>
        <w:jc w:val="both"/>
        <w:rPr>
          <w:color w:val="000000"/>
        </w:rPr>
      </w:pPr>
    </w:p>
    <w:p w:rsidR="00F9525D" w:rsidRPr="007E3805" w:rsidRDefault="00F9525D" w:rsidP="0089613C">
      <w:pPr>
        <w:tabs>
          <w:tab w:val="left" w:pos="720"/>
        </w:tabs>
        <w:autoSpaceDE w:val="0"/>
        <w:autoSpaceDN w:val="0"/>
        <w:adjustRightInd w:val="0"/>
        <w:jc w:val="both"/>
        <w:rPr>
          <w:color w:val="000000"/>
        </w:rPr>
      </w:pPr>
      <w:r w:rsidRPr="00F9525D">
        <w:rPr>
          <w:color w:val="000000"/>
        </w:rPr>
        <w:t xml:space="preserve">Une opinion séparée sur les Etats Certifiés de Dépenses sera émise par l’auditeur. Lorsqu’il est établi que des dépenses non </w:t>
      </w:r>
      <w:r w:rsidR="00097A33">
        <w:rPr>
          <w:color w:val="000000"/>
        </w:rPr>
        <w:t>éligibles</w:t>
      </w:r>
      <w:r w:rsidRPr="00F9525D">
        <w:rPr>
          <w:color w:val="000000"/>
        </w:rPr>
        <w:t xml:space="preserve"> ont été inclues dans les demandes de retrait de fonds et remboursées, l’auditeur devra l’indiquer.</w:t>
      </w:r>
    </w:p>
    <w:p w:rsidR="00555F0E" w:rsidRPr="007E3805" w:rsidRDefault="00555F0E" w:rsidP="0089613C">
      <w:pPr>
        <w:tabs>
          <w:tab w:val="left" w:pos="720"/>
        </w:tabs>
        <w:autoSpaceDE w:val="0"/>
        <w:autoSpaceDN w:val="0"/>
        <w:adjustRightInd w:val="0"/>
        <w:jc w:val="both"/>
        <w:rPr>
          <w:color w:val="000000"/>
        </w:rPr>
      </w:pPr>
    </w:p>
    <w:p w:rsidR="00555F0E" w:rsidRDefault="00555F0E" w:rsidP="0089613C">
      <w:pPr>
        <w:tabs>
          <w:tab w:val="left" w:pos="720"/>
        </w:tabs>
        <w:autoSpaceDE w:val="0"/>
        <w:autoSpaceDN w:val="0"/>
        <w:adjustRightInd w:val="0"/>
        <w:jc w:val="both"/>
        <w:rPr>
          <w:color w:val="000000"/>
        </w:rPr>
      </w:pPr>
      <w:r w:rsidRPr="007E3805">
        <w:rPr>
          <w:color w:val="000000"/>
        </w:rPr>
        <w:t xml:space="preserve">Le total </w:t>
      </w:r>
      <w:r w:rsidR="00F9525D">
        <w:rPr>
          <w:color w:val="000000"/>
        </w:rPr>
        <w:t xml:space="preserve">des sommes encaissées </w:t>
      </w:r>
      <w:r w:rsidR="00097A33">
        <w:rPr>
          <w:color w:val="000000"/>
        </w:rPr>
        <w:t>suite aux</w:t>
      </w:r>
      <w:r w:rsidRPr="007E3805">
        <w:rPr>
          <w:color w:val="000000"/>
        </w:rPr>
        <w:t xml:space="preserve"> demandes de remboursement de fonds </w:t>
      </w:r>
      <w:r w:rsidR="00F9525D">
        <w:rPr>
          <w:color w:val="000000"/>
        </w:rPr>
        <w:t>sur la base des</w:t>
      </w:r>
      <w:r w:rsidRPr="007E3805">
        <w:rPr>
          <w:color w:val="000000"/>
        </w:rPr>
        <w:t xml:space="preserve"> états certifiés de dépenses ou des rapports de suivi financier devrait</w:t>
      </w:r>
      <w:r w:rsidR="00F9525D" w:rsidRPr="00F9525D">
        <w:rPr>
          <w:color w:val="000000"/>
        </w:rPr>
        <w:t xml:space="preserve"> être un élément de la réconciliation globale des fonds </w:t>
      </w:r>
      <w:r w:rsidR="00722859" w:rsidRPr="00F9525D">
        <w:rPr>
          <w:color w:val="000000"/>
        </w:rPr>
        <w:t>reçus</w:t>
      </w:r>
      <w:r w:rsidR="00F9525D" w:rsidRPr="00F9525D">
        <w:rPr>
          <w:color w:val="000000"/>
        </w:rPr>
        <w:t xml:space="preserve"> et décaissés décrite dans le paragraphe 5</w:t>
      </w:r>
      <w:r w:rsidR="00097A33">
        <w:rPr>
          <w:color w:val="000000"/>
        </w:rPr>
        <w:t>(f)</w:t>
      </w:r>
      <w:r w:rsidR="00F9525D" w:rsidRPr="00F9525D">
        <w:rPr>
          <w:color w:val="000000"/>
        </w:rPr>
        <w:t xml:space="preserve"> ci-dessus.</w:t>
      </w:r>
    </w:p>
    <w:p w:rsidR="00555F0E" w:rsidRPr="005A5AB4" w:rsidRDefault="00555F0E" w:rsidP="0089613C">
      <w:pPr>
        <w:pStyle w:val="Corpsdetexte"/>
        <w:spacing w:after="0"/>
        <w:rPr>
          <w:b/>
          <w:bCs/>
          <w:caps/>
          <w:szCs w:val="24"/>
          <w:u w:val="single"/>
        </w:rPr>
      </w:pPr>
    </w:p>
    <w:p w:rsidR="00555F0E" w:rsidRPr="005A5AB4" w:rsidRDefault="00555F0E" w:rsidP="0089613C">
      <w:pPr>
        <w:pStyle w:val="Paragraphedeliste"/>
        <w:numPr>
          <w:ilvl w:val="0"/>
          <w:numId w:val="8"/>
        </w:numPr>
        <w:spacing w:line="276" w:lineRule="auto"/>
        <w:ind w:left="567" w:hanging="567"/>
        <w:jc w:val="both"/>
        <w:rPr>
          <w:b/>
          <w:bCs/>
          <w:caps/>
          <w:szCs w:val="24"/>
          <w:u w:val="single"/>
        </w:rPr>
      </w:pPr>
      <w:r w:rsidRPr="005A5AB4">
        <w:rPr>
          <w:b/>
          <w:bCs/>
          <w:caps/>
          <w:szCs w:val="24"/>
          <w:u w:val="single"/>
        </w:rPr>
        <w:t>Comptes</w:t>
      </w:r>
      <w:r>
        <w:rPr>
          <w:b/>
          <w:bCs/>
          <w:caps/>
          <w:szCs w:val="24"/>
          <w:u w:val="single"/>
        </w:rPr>
        <w:t xml:space="preserve"> dESIGNES</w:t>
      </w:r>
    </w:p>
    <w:p w:rsidR="00555F0E" w:rsidRDefault="00555F0E" w:rsidP="0089613C">
      <w:pPr>
        <w:pStyle w:val="Corpsdetexte"/>
        <w:spacing w:after="0"/>
        <w:rPr>
          <w:b/>
          <w:bCs/>
          <w:caps/>
          <w:szCs w:val="24"/>
          <w:u w:val="single"/>
        </w:rPr>
      </w:pPr>
    </w:p>
    <w:p w:rsidR="00467908" w:rsidRDefault="00467908" w:rsidP="0089613C">
      <w:pPr>
        <w:tabs>
          <w:tab w:val="left" w:pos="720"/>
        </w:tabs>
        <w:autoSpaceDE w:val="0"/>
        <w:autoSpaceDN w:val="0"/>
        <w:adjustRightInd w:val="0"/>
        <w:jc w:val="both"/>
        <w:rPr>
          <w:color w:val="000000"/>
        </w:rPr>
      </w:pPr>
      <w:r w:rsidRPr="00467908">
        <w:rPr>
          <w:color w:val="000000"/>
        </w:rPr>
        <w:t xml:space="preserve">L’auditeur est tenu de vérifier, en sus des états financiers du Projet, les mouvements de fonds sur les comptes </w:t>
      </w:r>
      <w:r>
        <w:rPr>
          <w:color w:val="000000"/>
        </w:rPr>
        <w:t>désignés du</w:t>
      </w:r>
      <w:r w:rsidRPr="00467908">
        <w:rPr>
          <w:color w:val="000000"/>
        </w:rPr>
        <w:t xml:space="preserve"> Projet. L’auditeur examinera l’éligibilité des transactions </w:t>
      </w:r>
      <w:r>
        <w:rPr>
          <w:color w:val="000000"/>
        </w:rPr>
        <w:t xml:space="preserve">de </w:t>
      </w:r>
      <w:r w:rsidRPr="00467908">
        <w:rPr>
          <w:color w:val="000000"/>
        </w:rPr>
        <w:t xml:space="preserve">la période sous revue et les soldes des fonds à la clôture de l’exercice </w:t>
      </w:r>
      <w:r>
        <w:rPr>
          <w:color w:val="000000"/>
        </w:rPr>
        <w:t>comptable</w:t>
      </w:r>
      <w:r w:rsidRPr="00467908">
        <w:rPr>
          <w:color w:val="000000"/>
        </w:rPr>
        <w:t xml:space="preserve"> en conformité avec les </w:t>
      </w:r>
      <w:r w:rsidRPr="00467908">
        <w:rPr>
          <w:color w:val="000000"/>
        </w:rPr>
        <w:lastRenderedPageBreak/>
        <w:t>dispositions de l’accord de financement et de la lettre de décaissement</w:t>
      </w:r>
      <w:r>
        <w:rPr>
          <w:color w:val="000000"/>
        </w:rPr>
        <w:t xml:space="preserve">. </w:t>
      </w:r>
      <w:r w:rsidRPr="007E3805">
        <w:rPr>
          <w:color w:val="000000"/>
        </w:rPr>
        <w:t>Il examinera</w:t>
      </w:r>
      <w:r>
        <w:rPr>
          <w:color w:val="000000"/>
        </w:rPr>
        <w:t xml:space="preserve"> également</w:t>
      </w:r>
      <w:r w:rsidRPr="007E3805">
        <w:rPr>
          <w:color w:val="000000"/>
        </w:rPr>
        <w:t xml:space="preserve"> l’adéquation du système de contrôle interne en fonction du mécanisme de décaissement.</w:t>
      </w:r>
    </w:p>
    <w:p w:rsidR="00467908" w:rsidRPr="00467908" w:rsidRDefault="00467908" w:rsidP="0089613C">
      <w:pPr>
        <w:tabs>
          <w:tab w:val="left" w:pos="720"/>
        </w:tabs>
        <w:autoSpaceDE w:val="0"/>
        <w:autoSpaceDN w:val="0"/>
        <w:adjustRightInd w:val="0"/>
        <w:jc w:val="both"/>
        <w:rPr>
          <w:color w:val="000000"/>
        </w:rPr>
      </w:pPr>
    </w:p>
    <w:p w:rsidR="00555F0E" w:rsidRPr="007E3805" w:rsidRDefault="00467908" w:rsidP="0089613C">
      <w:pPr>
        <w:tabs>
          <w:tab w:val="left" w:pos="720"/>
        </w:tabs>
        <w:autoSpaceDE w:val="0"/>
        <w:autoSpaceDN w:val="0"/>
        <w:adjustRightInd w:val="0"/>
        <w:jc w:val="both"/>
        <w:rPr>
          <w:color w:val="000000"/>
        </w:rPr>
      </w:pPr>
      <w:r>
        <w:rPr>
          <w:color w:val="000000"/>
        </w:rPr>
        <w:t>L</w:t>
      </w:r>
      <w:r w:rsidR="00555F0E" w:rsidRPr="007E3805">
        <w:rPr>
          <w:color w:val="000000"/>
        </w:rPr>
        <w:t xml:space="preserve">’auditeur devra analyser les </w:t>
      </w:r>
      <w:r w:rsidR="00046801">
        <w:rPr>
          <w:color w:val="000000"/>
        </w:rPr>
        <w:t>activités</w:t>
      </w:r>
      <w:r w:rsidR="00555F0E" w:rsidRPr="007E3805">
        <w:rPr>
          <w:color w:val="000000"/>
        </w:rPr>
        <w:t xml:space="preserve"> des Comptes Désignés qui incluent normalement :</w:t>
      </w:r>
      <w:r w:rsidR="00046801">
        <w:rPr>
          <w:color w:val="000000"/>
        </w:rPr>
        <w:t xml:space="preserve"> (i) </w:t>
      </w:r>
      <w:r w:rsidR="00555F0E">
        <w:rPr>
          <w:color w:val="000000"/>
        </w:rPr>
        <w:t>l</w:t>
      </w:r>
      <w:r w:rsidR="00555F0E" w:rsidRPr="007E3805">
        <w:rPr>
          <w:color w:val="000000"/>
        </w:rPr>
        <w:t>es avances reçues d</w:t>
      </w:r>
      <w:r w:rsidR="00046801">
        <w:rPr>
          <w:color w:val="000000"/>
        </w:rPr>
        <w:t>es bailleurs</w:t>
      </w:r>
      <w:r w:rsidR="00555F0E" w:rsidRPr="007E3805">
        <w:rPr>
          <w:color w:val="000000"/>
        </w:rPr>
        <w:t> ;</w:t>
      </w:r>
      <w:r w:rsidR="00046801">
        <w:rPr>
          <w:color w:val="000000"/>
        </w:rPr>
        <w:t xml:space="preserve"> (ii) </w:t>
      </w:r>
      <w:r w:rsidR="00555F0E">
        <w:rPr>
          <w:color w:val="000000"/>
        </w:rPr>
        <w:t>l</w:t>
      </w:r>
      <w:r w:rsidR="00555F0E" w:rsidRPr="007E3805">
        <w:rPr>
          <w:color w:val="000000"/>
        </w:rPr>
        <w:t>es reconstitutions des Comptes Désignés soutenues par les demandes de remboursement de fonds ;</w:t>
      </w:r>
      <w:r w:rsidR="00046801">
        <w:rPr>
          <w:color w:val="000000"/>
        </w:rPr>
        <w:t xml:space="preserve"> (iii) </w:t>
      </w:r>
      <w:r w:rsidR="00555F0E">
        <w:rPr>
          <w:color w:val="000000"/>
        </w:rPr>
        <w:t>l</w:t>
      </w:r>
      <w:r w:rsidR="00555F0E" w:rsidRPr="007E3805">
        <w:rPr>
          <w:color w:val="000000"/>
        </w:rPr>
        <w:t xml:space="preserve">es intérêts éventuellement générés sur le compte </w:t>
      </w:r>
      <w:r w:rsidR="00046801">
        <w:rPr>
          <w:color w:val="000000"/>
        </w:rPr>
        <w:t>du</w:t>
      </w:r>
      <w:r w:rsidR="00555F0E" w:rsidRPr="007E3805">
        <w:rPr>
          <w:color w:val="000000"/>
        </w:rPr>
        <w:t>Projet ;</w:t>
      </w:r>
      <w:r w:rsidR="00046801">
        <w:rPr>
          <w:color w:val="000000"/>
        </w:rPr>
        <w:t xml:space="preserve"> (iv) les</w:t>
      </w:r>
      <w:r w:rsidR="00046801" w:rsidRPr="00046801">
        <w:rPr>
          <w:color w:val="000000"/>
        </w:rPr>
        <w:t xml:space="preserve"> recettes des DAOs</w:t>
      </w:r>
      <w:r w:rsidR="00046801">
        <w:rPr>
          <w:color w:val="000000"/>
        </w:rPr>
        <w:t xml:space="preserve"> le cas échéant ;(v) </w:t>
      </w:r>
      <w:r w:rsidR="00555F0E">
        <w:rPr>
          <w:color w:val="000000"/>
        </w:rPr>
        <w:t>l</w:t>
      </w:r>
      <w:r w:rsidR="00555F0E" w:rsidRPr="007E3805">
        <w:rPr>
          <w:color w:val="000000"/>
        </w:rPr>
        <w:t>es retraits relatifs aux dépenses du Projet</w:t>
      </w:r>
      <w:r w:rsidR="00046801">
        <w:rPr>
          <w:color w:val="000000"/>
        </w:rPr>
        <w:t> ; et (vii) les rapprochements bancaires de fin de période.</w:t>
      </w:r>
    </w:p>
    <w:p w:rsidR="00324619" w:rsidRDefault="00324619" w:rsidP="0089613C">
      <w:pPr>
        <w:spacing w:line="276" w:lineRule="auto"/>
        <w:jc w:val="both"/>
        <w:rPr>
          <w:b/>
          <w:bCs/>
          <w:caps/>
          <w:szCs w:val="24"/>
          <w:u w:val="single"/>
        </w:rPr>
      </w:pPr>
    </w:p>
    <w:p w:rsidR="00792B48" w:rsidRDefault="00792B48" w:rsidP="0089613C">
      <w:pPr>
        <w:spacing w:line="276" w:lineRule="auto"/>
        <w:jc w:val="both"/>
        <w:rPr>
          <w:b/>
          <w:bCs/>
          <w:caps/>
          <w:szCs w:val="24"/>
          <w:u w:val="single"/>
        </w:rPr>
      </w:pPr>
    </w:p>
    <w:p w:rsidR="00324619" w:rsidRPr="00B579C4" w:rsidRDefault="00324619" w:rsidP="0089613C">
      <w:pPr>
        <w:spacing w:line="276" w:lineRule="auto"/>
        <w:jc w:val="both"/>
        <w:rPr>
          <w:b/>
          <w:bCs/>
          <w:caps/>
          <w:szCs w:val="24"/>
          <w:u w:val="single"/>
        </w:rPr>
      </w:pPr>
    </w:p>
    <w:p w:rsidR="00555F0E" w:rsidRPr="005A5AB4" w:rsidRDefault="00555F0E" w:rsidP="0089613C">
      <w:pPr>
        <w:pStyle w:val="Paragraphedeliste"/>
        <w:numPr>
          <w:ilvl w:val="0"/>
          <w:numId w:val="8"/>
        </w:numPr>
        <w:spacing w:line="276" w:lineRule="auto"/>
        <w:ind w:left="567" w:hanging="567"/>
        <w:jc w:val="both"/>
        <w:rPr>
          <w:b/>
          <w:bCs/>
          <w:caps/>
          <w:szCs w:val="24"/>
          <w:u w:val="single"/>
        </w:rPr>
      </w:pPr>
      <w:r w:rsidRPr="005A5AB4">
        <w:rPr>
          <w:b/>
          <w:color w:val="000000"/>
          <w:u w:val="single"/>
        </w:rPr>
        <w:t xml:space="preserve">RAPPORT D’AUDIT </w:t>
      </w:r>
    </w:p>
    <w:p w:rsidR="00555F0E" w:rsidRDefault="00555F0E" w:rsidP="0089613C">
      <w:pPr>
        <w:pStyle w:val="Corpsdetexte"/>
        <w:spacing w:after="0"/>
        <w:rPr>
          <w:b/>
          <w:color w:val="000000"/>
          <w:u w:val="single"/>
        </w:rPr>
      </w:pPr>
    </w:p>
    <w:p w:rsidR="00306DFA" w:rsidRDefault="00555F0E" w:rsidP="0089613C">
      <w:pPr>
        <w:tabs>
          <w:tab w:val="left" w:pos="720"/>
        </w:tabs>
        <w:autoSpaceDE w:val="0"/>
        <w:autoSpaceDN w:val="0"/>
        <w:adjustRightInd w:val="0"/>
        <w:jc w:val="both"/>
        <w:rPr>
          <w:color w:val="000000"/>
        </w:rPr>
      </w:pPr>
      <w:r w:rsidRPr="007E3805">
        <w:rPr>
          <w:color w:val="000000"/>
        </w:rPr>
        <w:t xml:space="preserve">L’auditeur émettra une opinion </w:t>
      </w:r>
      <w:r w:rsidR="00306DFA">
        <w:rPr>
          <w:color w:val="000000"/>
        </w:rPr>
        <w:t xml:space="preserve">d’audit </w:t>
      </w:r>
      <w:r w:rsidRPr="007E3805">
        <w:rPr>
          <w:color w:val="000000"/>
        </w:rPr>
        <w:t>sur les états financiers</w:t>
      </w:r>
      <w:r>
        <w:rPr>
          <w:color w:val="000000"/>
        </w:rPr>
        <w:t xml:space="preserve"> du Projet</w:t>
      </w:r>
      <w:r w:rsidRPr="007E3805">
        <w:rPr>
          <w:color w:val="000000"/>
        </w:rPr>
        <w:t>.</w:t>
      </w:r>
      <w:r w:rsidR="00306DFA" w:rsidRPr="00306DFA">
        <w:rPr>
          <w:color w:val="000000"/>
        </w:rPr>
        <w:t xml:space="preserve">L’opinion de l’auditeur se fonde sur une évaluation des conclusions tirées des éléments probants recueillis et est clairement exprimée dans un rapport écrit exposant le fondement de cette opinion. Le rapport d'audit doit être préparé conformément à la norme </w:t>
      </w:r>
      <w:r w:rsidR="00306DFA" w:rsidRPr="00306DFA">
        <w:rPr>
          <w:b/>
          <w:color w:val="000000"/>
          <w:u w:val="single"/>
        </w:rPr>
        <w:t>ISA 700</w:t>
      </w:r>
      <w:r w:rsidR="00306DFA" w:rsidRPr="00306DFA">
        <w:rPr>
          <w:b/>
          <w:u w:val="single"/>
        </w:rPr>
        <w:t xml:space="preserve"> (Fondement de l'opinion et rapport d'audit sur des états financiers)</w:t>
      </w:r>
      <w:r w:rsidR="00306DFA" w:rsidRPr="00306DFA">
        <w:rPr>
          <w:color w:val="000000"/>
        </w:rPr>
        <w:t>.</w:t>
      </w:r>
    </w:p>
    <w:p w:rsidR="00306DFA" w:rsidRDefault="00306DFA" w:rsidP="0089613C">
      <w:pPr>
        <w:tabs>
          <w:tab w:val="left" w:pos="720"/>
        </w:tabs>
        <w:autoSpaceDE w:val="0"/>
        <w:autoSpaceDN w:val="0"/>
        <w:adjustRightInd w:val="0"/>
        <w:jc w:val="both"/>
        <w:rPr>
          <w:color w:val="000000"/>
        </w:rPr>
      </w:pPr>
    </w:p>
    <w:p w:rsidR="00EA0780" w:rsidRPr="00EA0780" w:rsidRDefault="00EA0780" w:rsidP="0089613C">
      <w:pPr>
        <w:tabs>
          <w:tab w:val="left" w:pos="720"/>
        </w:tabs>
        <w:autoSpaceDE w:val="0"/>
        <w:autoSpaceDN w:val="0"/>
        <w:adjustRightInd w:val="0"/>
        <w:jc w:val="both"/>
        <w:rPr>
          <w:color w:val="000000"/>
          <w:lang w:val="fr-CA"/>
        </w:rPr>
      </w:pPr>
      <w:r w:rsidRPr="00306DFA">
        <w:rPr>
          <w:color w:val="000000"/>
          <w:lang w:val="fr-CA"/>
        </w:rPr>
        <w:t xml:space="preserve">Une opinion d'audit </w:t>
      </w:r>
      <w:bookmarkStart w:id="0" w:name="_Hlk19101526"/>
      <w:r w:rsidRPr="00306DFA">
        <w:rPr>
          <w:color w:val="000000"/>
          <w:lang w:val="fr-CA"/>
        </w:rPr>
        <w:t xml:space="preserve">modifiée </w:t>
      </w:r>
      <w:r>
        <w:rPr>
          <w:color w:val="000000"/>
          <w:lang w:val="fr-CA"/>
        </w:rPr>
        <w:t xml:space="preserve">sur les états financiers </w:t>
      </w:r>
      <w:r w:rsidRPr="00306DFA">
        <w:rPr>
          <w:color w:val="000000"/>
          <w:lang w:val="fr-CA"/>
        </w:rPr>
        <w:t xml:space="preserve">doit être </w:t>
      </w:r>
      <w:r>
        <w:rPr>
          <w:color w:val="000000"/>
          <w:lang w:val="fr-CA"/>
        </w:rPr>
        <w:t>émise</w:t>
      </w:r>
      <w:r w:rsidR="00382CCB">
        <w:rPr>
          <w:color w:val="000000"/>
          <w:lang w:val="fr-CA"/>
        </w:rPr>
        <w:t>(a)</w:t>
      </w:r>
      <w:r>
        <w:rPr>
          <w:color w:val="000000"/>
          <w:lang w:val="fr-CA"/>
        </w:rPr>
        <w:t xml:space="preserve">lorsque l’auditeur conclut </w:t>
      </w:r>
      <w:r>
        <w:t xml:space="preserve">sur la base des éléments probants recueillis, que les états financiers pris dans leur ensemble </w:t>
      </w:r>
      <w:r w:rsidR="004F4AC2">
        <w:t xml:space="preserve">ne sont pas exempts </w:t>
      </w:r>
      <w:r>
        <w:t>d</w:t>
      </w:r>
      <w:r w:rsidR="004F4AC2">
        <w:t>’</w:t>
      </w:r>
      <w:r>
        <w:t xml:space="preserve">anomalies significatives ; ou (b) lorsqu'il n'est pas en mesure de recueillir des éléments probants suffisants et appropriés </w:t>
      </w:r>
      <w:r w:rsidR="00382CCB">
        <w:t xml:space="preserve">lui permettant de </w:t>
      </w:r>
      <w:r>
        <w:t xml:space="preserve">conclure que les états financiers pris dans leur ensemble </w:t>
      </w:r>
      <w:r w:rsidR="004F4AC2">
        <w:t>sont exempts</w:t>
      </w:r>
      <w:r>
        <w:t xml:space="preserve"> d'anomalies significatives. </w:t>
      </w:r>
      <w:bookmarkEnd w:id="0"/>
      <w:r>
        <w:rPr>
          <w:color w:val="000000"/>
          <w:lang w:val="fr-CA"/>
        </w:rPr>
        <w:t xml:space="preserve">Les </w:t>
      </w:r>
      <w:r w:rsidRPr="00306DFA">
        <w:rPr>
          <w:color w:val="000000"/>
          <w:lang w:val="fr-CA"/>
        </w:rPr>
        <w:t>opinion</w:t>
      </w:r>
      <w:r>
        <w:rPr>
          <w:color w:val="000000"/>
          <w:lang w:val="fr-CA"/>
        </w:rPr>
        <w:t>s</w:t>
      </w:r>
      <w:r w:rsidRPr="00306DFA">
        <w:rPr>
          <w:color w:val="000000"/>
          <w:lang w:val="fr-CA"/>
        </w:rPr>
        <w:t xml:space="preserve"> d'audit modifiée</w:t>
      </w:r>
      <w:r>
        <w:rPr>
          <w:color w:val="000000"/>
          <w:lang w:val="fr-CA"/>
        </w:rPr>
        <w:t xml:space="preserve">s </w:t>
      </w:r>
      <w:r w:rsidRPr="00306DFA">
        <w:rPr>
          <w:color w:val="000000"/>
          <w:lang w:val="fr-CA"/>
        </w:rPr>
        <w:t xml:space="preserve">doivent être </w:t>
      </w:r>
      <w:r>
        <w:rPr>
          <w:color w:val="000000"/>
          <w:lang w:val="fr-CA"/>
        </w:rPr>
        <w:t>émises en conformité avec la</w:t>
      </w:r>
      <w:r w:rsidRPr="00306DFA">
        <w:rPr>
          <w:color w:val="000000"/>
          <w:lang w:val="fr-CA"/>
        </w:rPr>
        <w:t xml:space="preserve"> norme </w:t>
      </w:r>
      <w:bookmarkStart w:id="1" w:name="_Hlk19101560"/>
      <w:r w:rsidRPr="00EA0780">
        <w:rPr>
          <w:b/>
          <w:color w:val="000000"/>
          <w:u w:val="single"/>
          <w:lang w:val="fr-CA"/>
        </w:rPr>
        <w:t>ISA 705 (</w:t>
      </w:r>
      <w:r w:rsidR="00AC4930" w:rsidRPr="00AC4930">
        <w:rPr>
          <w:b/>
          <w:color w:val="000000"/>
          <w:u w:val="single"/>
          <w:lang w:val="fr-CA"/>
        </w:rPr>
        <w:t>Expression d’une opinion modifiée dans le rapport de l’auditeur indépendant</w:t>
      </w:r>
      <w:r w:rsidRPr="00EA0780">
        <w:rPr>
          <w:b/>
          <w:color w:val="000000"/>
          <w:u w:val="single"/>
          <w:lang w:val="fr-CA"/>
        </w:rPr>
        <w:t>)</w:t>
      </w:r>
      <w:r w:rsidRPr="00EA0780">
        <w:rPr>
          <w:color w:val="000000"/>
          <w:lang w:val="fr-CA"/>
        </w:rPr>
        <w:t>.</w:t>
      </w:r>
      <w:bookmarkEnd w:id="1"/>
    </w:p>
    <w:p w:rsidR="00306DFA" w:rsidRPr="00EA0780" w:rsidRDefault="00306DFA" w:rsidP="0089613C">
      <w:pPr>
        <w:tabs>
          <w:tab w:val="left" w:pos="720"/>
        </w:tabs>
        <w:autoSpaceDE w:val="0"/>
        <w:autoSpaceDN w:val="0"/>
        <w:adjustRightInd w:val="0"/>
        <w:jc w:val="both"/>
        <w:rPr>
          <w:b/>
          <w:color w:val="000000"/>
          <w:lang w:val="fr-CA"/>
        </w:rPr>
      </w:pPr>
    </w:p>
    <w:p w:rsidR="002808CD" w:rsidRDefault="002808CD" w:rsidP="0089613C">
      <w:pPr>
        <w:tabs>
          <w:tab w:val="left" w:pos="720"/>
        </w:tabs>
        <w:autoSpaceDE w:val="0"/>
        <w:autoSpaceDN w:val="0"/>
        <w:adjustRightInd w:val="0"/>
        <w:jc w:val="both"/>
        <w:rPr>
          <w:color w:val="000000"/>
        </w:rPr>
      </w:pPr>
      <w:r>
        <w:rPr>
          <w:color w:val="000000"/>
        </w:rPr>
        <w:t xml:space="preserve">L’auditeur inclus un paragraphe d’observation ou un paragraphe relatif à d’autres points, lorsque </w:t>
      </w:r>
      <w:r>
        <w:t xml:space="preserve">ayant forgé son opinion sur les états financiers, il juge nécessaire d'attirer l'attention des utilisateurs, par une communication additionnelle claire dans son rapport d'audit. Ce paragraphe porte sur : (a) un point qui, bien que présenté ou mentionné de manière appropriée dans les états financiers, est d'une importance telle qu'il est essentiel à la compréhension des états financiers par leurs utilisateurs ; ou (b) le cas échéant, tout autre point qui est pertinent pour la compréhension par les utilisateurs, de l'audit, des responsabilités de l'auditeur ou de son rapport d'audit. Cette communication additionnelle </w:t>
      </w:r>
      <w:r w:rsidRPr="00EA0780">
        <w:rPr>
          <w:color w:val="000000"/>
        </w:rPr>
        <w:t xml:space="preserve">sera présentée conformément à la norme </w:t>
      </w:r>
      <w:r w:rsidRPr="002808CD">
        <w:rPr>
          <w:b/>
          <w:color w:val="000000"/>
          <w:u w:val="single"/>
        </w:rPr>
        <w:t>ISA 706 (Paragraphes d’observation et paragraphes relatifs à d’autres points dans le rapport de l’auditeur indépendant)</w:t>
      </w:r>
      <w:r w:rsidRPr="002808CD">
        <w:rPr>
          <w:color w:val="000000"/>
        </w:rPr>
        <w:t>.</w:t>
      </w:r>
    </w:p>
    <w:p w:rsidR="00555F0E" w:rsidRDefault="00555F0E" w:rsidP="0089613C">
      <w:pPr>
        <w:pStyle w:val="Corpsdetexte"/>
        <w:spacing w:after="0"/>
        <w:rPr>
          <w:b/>
          <w:bCs/>
          <w:caps/>
          <w:szCs w:val="24"/>
          <w:u w:val="single"/>
        </w:rPr>
      </w:pPr>
    </w:p>
    <w:p w:rsidR="00A641E1" w:rsidRDefault="00A641E1" w:rsidP="0089613C">
      <w:pPr>
        <w:pStyle w:val="Corpsdetexte"/>
        <w:spacing w:after="0"/>
        <w:rPr>
          <w:b/>
          <w:bCs/>
          <w:caps/>
          <w:szCs w:val="24"/>
          <w:u w:val="single"/>
        </w:rPr>
      </w:pPr>
    </w:p>
    <w:p w:rsidR="001934D8" w:rsidRDefault="001934D8" w:rsidP="0089613C">
      <w:pPr>
        <w:pStyle w:val="Corpsdetexte"/>
        <w:spacing w:after="0"/>
        <w:rPr>
          <w:b/>
          <w:bCs/>
          <w:caps/>
          <w:szCs w:val="24"/>
          <w:u w:val="single"/>
        </w:rPr>
      </w:pPr>
    </w:p>
    <w:p w:rsidR="001934D8" w:rsidRDefault="001934D8" w:rsidP="0089613C">
      <w:pPr>
        <w:pStyle w:val="Corpsdetexte"/>
        <w:spacing w:after="0"/>
        <w:rPr>
          <w:b/>
          <w:bCs/>
          <w:caps/>
          <w:szCs w:val="24"/>
          <w:u w:val="single"/>
        </w:rPr>
      </w:pPr>
    </w:p>
    <w:p w:rsidR="001934D8" w:rsidRDefault="001934D8" w:rsidP="0089613C">
      <w:pPr>
        <w:pStyle w:val="Corpsdetexte"/>
        <w:spacing w:after="0"/>
        <w:rPr>
          <w:b/>
          <w:bCs/>
          <w:caps/>
          <w:szCs w:val="24"/>
          <w:u w:val="single"/>
        </w:rPr>
      </w:pPr>
    </w:p>
    <w:p w:rsidR="001934D8" w:rsidRDefault="001934D8" w:rsidP="0089613C">
      <w:pPr>
        <w:pStyle w:val="Corpsdetexte"/>
        <w:spacing w:after="0"/>
        <w:rPr>
          <w:b/>
          <w:bCs/>
          <w:caps/>
          <w:szCs w:val="24"/>
          <w:u w:val="single"/>
        </w:rPr>
      </w:pPr>
      <w:bookmarkStart w:id="2" w:name="_GoBack"/>
      <w:bookmarkEnd w:id="2"/>
    </w:p>
    <w:p w:rsidR="00A641E1" w:rsidRPr="00B4708B" w:rsidRDefault="00A641E1" w:rsidP="0089613C">
      <w:pPr>
        <w:tabs>
          <w:tab w:val="left" w:pos="720"/>
        </w:tabs>
        <w:autoSpaceDE w:val="0"/>
        <w:autoSpaceDN w:val="0"/>
        <w:adjustRightInd w:val="0"/>
        <w:ind w:left="720"/>
        <w:jc w:val="both"/>
        <w:rPr>
          <w:rFonts w:ascii="Tms Rmn" w:hAnsi="Tms Rmn" w:cs="Tms Rmn"/>
          <w:b/>
          <w:i/>
        </w:rPr>
      </w:pPr>
      <w:r w:rsidRPr="00B4708B">
        <w:rPr>
          <w:rFonts w:ascii="Tms Rmn" w:hAnsi="Tms Rmn" w:cs="Tms Rmn"/>
          <w:b/>
          <w:i/>
        </w:rPr>
        <w:t>OPINIONS COMPLEMENTAIRES</w:t>
      </w:r>
    </w:p>
    <w:p w:rsidR="00A641E1" w:rsidRDefault="00A641E1" w:rsidP="0089613C">
      <w:pPr>
        <w:tabs>
          <w:tab w:val="left" w:pos="720"/>
        </w:tabs>
        <w:autoSpaceDE w:val="0"/>
        <w:autoSpaceDN w:val="0"/>
        <w:adjustRightInd w:val="0"/>
        <w:ind w:left="720"/>
        <w:jc w:val="both"/>
        <w:rPr>
          <w:rFonts w:ascii="Tms Rmn" w:hAnsi="Tms Rmn" w:cs="Tms Rmn"/>
          <w:b/>
        </w:rPr>
      </w:pPr>
    </w:p>
    <w:p w:rsidR="00A641E1" w:rsidRPr="00B4708B" w:rsidRDefault="004C0081" w:rsidP="0089613C">
      <w:pPr>
        <w:tabs>
          <w:tab w:val="left" w:pos="720"/>
        </w:tabs>
        <w:autoSpaceDE w:val="0"/>
        <w:autoSpaceDN w:val="0"/>
        <w:adjustRightInd w:val="0"/>
        <w:jc w:val="both"/>
        <w:rPr>
          <w:rFonts w:ascii="Tms Rmn" w:hAnsi="Tms Rmn" w:cs="Tms Rmn"/>
          <w:b/>
        </w:rPr>
      </w:pPr>
      <w:r w:rsidRPr="004C0081">
        <w:rPr>
          <w:i/>
          <w:color w:val="000000"/>
        </w:rPr>
        <w:lastRenderedPageBreak/>
        <w:t>Dans le cadre de la présente mission, l’auditeur est appelé à émettre une opinion complémentaire sur : (i) l’utilisation des fonds par les entités</w:t>
      </w:r>
      <w:r>
        <w:rPr>
          <w:i/>
          <w:color w:val="000000"/>
        </w:rPr>
        <w:t>/ONGs</w:t>
      </w:r>
      <w:r w:rsidRPr="004C0081">
        <w:rPr>
          <w:i/>
          <w:color w:val="000000"/>
        </w:rPr>
        <w:t xml:space="preserve"> ayant reçu des fonds dans le cadre de la mise en œuvre des activités du Projet et selon les termes des </w:t>
      </w:r>
      <w:r>
        <w:rPr>
          <w:i/>
          <w:color w:val="000000"/>
        </w:rPr>
        <w:t>conventions</w:t>
      </w:r>
      <w:r w:rsidRPr="004C0081">
        <w:rPr>
          <w:i/>
          <w:color w:val="000000"/>
        </w:rPr>
        <w:t xml:space="preserve"> signé</w:t>
      </w:r>
      <w:r>
        <w:rPr>
          <w:i/>
          <w:color w:val="000000"/>
        </w:rPr>
        <w:t>e</w:t>
      </w:r>
      <w:r w:rsidRPr="004C0081">
        <w:rPr>
          <w:i/>
          <w:color w:val="000000"/>
        </w:rPr>
        <w:t>s avec le Projet, et (ii) autres informations jugées pertinentes dans le cadre de la mise en œuvre de</w:t>
      </w:r>
      <w:r>
        <w:rPr>
          <w:i/>
          <w:color w:val="000000"/>
        </w:rPr>
        <w:t>s</w:t>
      </w:r>
      <w:r w:rsidRPr="004C0081">
        <w:rPr>
          <w:i/>
          <w:color w:val="000000"/>
        </w:rPr>
        <w:t xml:space="preserve"> accord</w:t>
      </w:r>
      <w:r>
        <w:rPr>
          <w:i/>
          <w:color w:val="000000"/>
        </w:rPr>
        <w:t>s de financement de chaque don (IDA D-0200 et IDA D5530</w:t>
      </w:r>
      <w:r w:rsidR="007D25ED">
        <w:rPr>
          <w:i/>
          <w:color w:val="000000"/>
        </w:rPr>
        <w:t xml:space="preserve"> et IDA D6370</w:t>
      </w:r>
      <w:r>
        <w:rPr>
          <w:i/>
          <w:color w:val="000000"/>
        </w:rPr>
        <w:t>)</w:t>
      </w:r>
      <w:r w:rsidRPr="004C0081">
        <w:rPr>
          <w:i/>
          <w:color w:val="000000"/>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6547"/>
      </w:tblGrid>
      <w:tr w:rsidR="00A641E1" w:rsidRPr="00B4708B" w:rsidTr="00A641E1">
        <w:tc>
          <w:tcPr>
            <w:tcW w:w="2813" w:type="dxa"/>
          </w:tcPr>
          <w:p w:rsidR="00A641E1" w:rsidRPr="00B4708B" w:rsidRDefault="00A641E1" w:rsidP="0089613C">
            <w:pPr>
              <w:tabs>
                <w:tab w:val="left" w:pos="720"/>
              </w:tabs>
              <w:autoSpaceDE w:val="0"/>
              <w:autoSpaceDN w:val="0"/>
              <w:adjustRightInd w:val="0"/>
              <w:jc w:val="both"/>
              <w:rPr>
                <w:rFonts w:ascii="Tms Rmn" w:hAnsi="Tms Rmn" w:cs="Tms Rmn"/>
                <w:i/>
              </w:rPr>
            </w:pPr>
          </w:p>
        </w:tc>
        <w:tc>
          <w:tcPr>
            <w:tcW w:w="6547" w:type="dxa"/>
          </w:tcPr>
          <w:p w:rsidR="00A641E1" w:rsidRPr="00B4708B" w:rsidRDefault="00A641E1" w:rsidP="0089613C">
            <w:pPr>
              <w:tabs>
                <w:tab w:val="left" w:pos="720"/>
              </w:tabs>
              <w:autoSpaceDE w:val="0"/>
              <w:autoSpaceDN w:val="0"/>
              <w:adjustRightInd w:val="0"/>
              <w:jc w:val="both"/>
              <w:rPr>
                <w:rFonts w:ascii="Tms Rmn" w:hAnsi="Tms Rmn" w:cs="Tms Rmn"/>
                <w:i/>
              </w:rPr>
            </w:pPr>
          </w:p>
        </w:tc>
      </w:tr>
      <w:tr w:rsidR="00A36036" w:rsidRPr="00A36036" w:rsidTr="00A641E1">
        <w:tc>
          <w:tcPr>
            <w:tcW w:w="2813" w:type="dxa"/>
          </w:tcPr>
          <w:p w:rsidR="00F61E8C" w:rsidRPr="00A36036" w:rsidRDefault="00F61E8C" w:rsidP="0089613C">
            <w:pPr>
              <w:tabs>
                <w:tab w:val="left" w:pos="720"/>
              </w:tabs>
              <w:autoSpaceDE w:val="0"/>
              <w:autoSpaceDN w:val="0"/>
              <w:adjustRightInd w:val="0"/>
              <w:jc w:val="both"/>
              <w:rPr>
                <w:rFonts w:ascii="Tms Rmn" w:hAnsi="Tms Rmn" w:cs="Tms Rmn"/>
                <w:i/>
              </w:rPr>
            </w:pPr>
          </w:p>
        </w:tc>
        <w:tc>
          <w:tcPr>
            <w:tcW w:w="6547" w:type="dxa"/>
          </w:tcPr>
          <w:p w:rsidR="00A641E1" w:rsidRPr="00A36036" w:rsidRDefault="00A641E1" w:rsidP="0089613C">
            <w:pPr>
              <w:tabs>
                <w:tab w:val="left" w:pos="720"/>
              </w:tabs>
              <w:autoSpaceDE w:val="0"/>
              <w:autoSpaceDN w:val="0"/>
              <w:adjustRightInd w:val="0"/>
              <w:jc w:val="both"/>
              <w:rPr>
                <w:rFonts w:ascii="Tms Rmn" w:hAnsi="Tms Rmn" w:cs="Tms Rmn"/>
                <w:i/>
              </w:rPr>
            </w:pPr>
          </w:p>
        </w:tc>
      </w:tr>
      <w:tr w:rsidR="00A36036" w:rsidRPr="00A36036" w:rsidTr="00A641E1">
        <w:tc>
          <w:tcPr>
            <w:tcW w:w="2813" w:type="dxa"/>
          </w:tcPr>
          <w:p w:rsidR="00A641E1" w:rsidRPr="00A36036" w:rsidRDefault="00A641E1" w:rsidP="0089613C">
            <w:pPr>
              <w:tabs>
                <w:tab w:val="left" w:pos="720"/>
              </w:tabs>
              <w:autoSpaceDE w:val="0"/>
              <w:autoSpaceDN w:val="0"/>
              <w:adjustRightInd w:val="0"/>
              <w:jc w:val="both"/>
              <w:rPr>
                <w:rFonts w:ascii="Tms Rmn" w:hAnsi="Tms Rmn" w:cs="Tms Rmn"/>
                <w:i/>
              </w:rPr>
            </w:pPr>
          </w:p>
        </w:tc>
        <w:tc>
          <w:tcPr>
            <w:tcW w:w="6547" w:type="dxa"/>
          </w:tcPr>
          <w:p w:rsidR="00A641E1" w:rsidRPr="00A36036" w:rsidRDefault="00A641E1" w:rsidP="0089613C">
            <w:pPr>
              <w:tabs>
                <w:tab w:val="left" w:pos="720"/>
              </w:tabs>
              <w:autoSpaceDE w:val="0"/>
              <w:autoSpaceDN w:val="0"/>
              <w:adjustRightInd w:val="0"/>
              <w:jc w:val="both"/>
              <w:rPr>
                <w:rFonts w:ascii="Tms Rmn" w:hAnsi="Tms Rmn" w:cs="Tms Rmn"/>
                <w:i/>
              </w:rPr>
            </w:pPr>
          </w:p>
        </w:tc>
      </w:tr>
      <w:tr w:rsidR="00306DFA" w:rsidRPr="00B4708B" w:rsidTr="00A641E1">
        <w:tc>
          <w:tcPr>
            <w:tcW w:w="2813" w:type="dxa"/>
          </w:tcPr>
          <w:p w:rsidR="00306DFA" w:rsidRPr="00B4708B" w:rsidRDefault="00306DFA" w:rsidP="0089613C">
            <w:pPr>
              <w:tabs>
                <w:tab w:val="left" w:pos="720"/>
              </w:tabs>
              <w:autoSpaceDE w:val="0"/>
              <w:autoSpaceDN w:val="0"/>
              <w:adjustRightInd w:val="0"/>
              <w:jc w:val="both"/>
              <w:rPr>
                <w:rFonts w:ascii="Tms Rmn" w:hAnsi="Tms Rmn" w:cs="Tms Rmn"/>
                <w:i/>
              </w:rPr>
            </w:pPr>
            <w:r>
              <w:rPr>
                <w:rFonts w:ascii="Tms Rmn" w:hAnsi="Tms Rmn" w:cs="Tms Rmn"/>
                <w:i/>
              </w:rPr>
              <w:t>…</w:t>
            </w:r>
          </w:p>
        </w:tc>
        <w:tc>
          <w:tcPr>
            <w:tcW w:w="6547" w:type="dxa"/>
          </w:tcPr>
          <w:p w:rsidR="00306DFA" w:rsidRPr="00B4708B" w:rsidRDefault="00306DFA" w:rsidP="0089613C">
            <w:pPr>
              <w:tabs>
                <w:tab w:val="left" w:pos="720"/>
              </w:tabs>
              <w:autoSpaceDE w:val="0"/>
              <w:autoSpaceDN w:val="0"/>
              <w:adjustRightInd w:val="0"/>
              <w:jc w:val="both"/>
              <w:rPr>
                <w:rFonts w:ascii="Tms Rmn" w:hAnsi="Tms Rmn" w:cs="Tms Rmn"/>
                <w:i/>
              </w:rPr>
            </w:pPr>
            <w:r>
              <w:rPr>
                <w:rFonts w:ascii="Tms Rmn" w:hAnsi="Tms Rmn" w:cs="Tms Rmn"/>
                <w:i/>
              </w:rPr>
              <w:t>….</w:t>
            </w:r>
          </w:p>
        </w:tc>
      </w:tr>
    </w:tbl>
    <w:p w:rsidR="00C562CB" w:rsidRDefault="00C562CB" w:rsidP="0089613C">
      <w:pPr>
        <w:pStyle w:val="Corpsdetexte"/>
        <w:spacing w:after="0"/>
        <w:rPr>
          <w:b/>
          <w:bCs/>
          <w:caps/>
          <w:szCs w:val="24"/>
          <w:u w:val="single"/>
        </w:rPr>
      </w:pPr>
    </w:p>
    <w:p w:rsidR="00C562CB" w:rsidRDefault="00C562CB" w:rsidP="0089613C">
      <w:pPr>
        <w:pStyle w:val="Corpsdetexte"/>
        <w:spacing w:after="0"/>
        <w:rPr>
          <w:b/>
          <w:bCs/>
          <w:caps/>
          <w:szCs w:val="24"/>
          <w:u w:val="single"/>
        </w:rPr>
      </w:pPr>
    </w:p>
    <w:p w:rsidR="00A641E1" w:rsidRPr="005A5AB4" w:rsidRDefault="00A641E1" w:rsidP="0089613C">
      <w:pPr>
        <w:pStyle w:val="Corpsdetexte"/>
        <w:spacing w:after="0"/>
        <w:rPr>
          <w:b/>
          <w:bCs/>
          <w:caps/>
          <w:szCs w:val="24"/>
          <w:u w:val="single"/>
        </w:rPr>
      </w:pPr>
    </w:p>
    <w:p w:rsidR="00555F0E" w:rsidRPr="005A5AB4" w:rsidRDefault="00555F0E" w:rsidP="0089613C">
      <w:pPr>
        <w:pStyle w:val="Paragraphedeliste"/>
        <w:numPr>
          <w:ilvl w:val="0"/>
          <w:numId w:val="8"/>
        </w:numPr>
        <w:spacing w:line="276" w:lineRule="auto"/>
        <w:ind w:left="567" w:hanging="567"/>
        <w:jc w:val="both"/>
        <w:rPr>
          <w:b/>
          <w:bCs/>
          <w:caps/>
          <w:szCs w:val="24"/>
          <w:u w:val="single"/>
        </w:rPr>
      </w:pPr>
      <w:r w:rsidRPr="005A5AB4">
        <w:rPr>
          <w:b/>
          <w:color w:val="000000"/>
          <w:u w:val="single"/>
        </w:rPr>
        <w:t>LETTRE DE CONTROLE INTERNE</w:t>
      </w:r>
    </w:p>
    <w:p w:rsidR="00555F0E" w:rsidRDefault="00555F0E" w:rsidP="0089613C">
      <w:pPr>
        <w:pStyle w:val="Corpsdetexte"/>
        <w:spacing w:after="0"/>
        <w:rPr>
          <w:b/>
          <w:color w:val="000000"/>
          <w:u w:val="single"/>
        </w:rPr>
      </w:pPr>
    </w:p>
    <w:p w:rsidR="00555F0E" w:rsidRPr="007E3805" w:rsidRDefault="00555F0E" w:rsidP="0089613C">
      <w:pPr>
        <w:tabs>
          <w:tab w:val="left" w:pos="720"/>
        </w:tabs>
        <w:autoSpaceDE w:val="0"/>
        <w:autoSpaceDN w:val="0"/>
        <w:adjustRightInd w:val="0"/>
        <w:jc w:val="both"/>
        <w:rPr>
          <w:color w:val="000000"/>
        </w:rPr>
      </w:pPr>
      <w:r w:rsidRPr="007E3805">
        <w:rPr>
          <w:bCs/>
        </w:rPr>
        <w:t xml:space="preserve">En plus du rapport d’audit sur les états financiers, l’auditeur préparera une lettre de contrôle interne qui inclura </w:t>
      </w:r>
      <w:r w:rsidRPr="007E3805">
        <w:rPr>
          <w:color w:val="000000"/>
        </w:rPr>
        <w:t>:</w:t>
      </w:r>
    </w:p>
    <w:p w:rsidR="00555F0E" w:rsidRPr="00DD4AC7" w:rsidRDefault="00555F0E" w:rsidP="0089613C">
      <w:pPr>
        <w:numPr>
          <w:ilvl w:val="0"/>
          <w:numId w:val="7"/>
        </w:numPr>
        <w:tabs>
          <w:tab w:val="left" w:pos="720"/>
        </w:tabs>
        <w:autoSpaceDE w:val="0"/>
        <w:autoSpaceDN w:val="0"/>
        <w:adjustRightInd w:val="0"/>
        <w:jc w:val="both"/>
        <w:rPr>
          <w:color w:val="000000"/>
        </w:rPr>
      </w:pPr>
      <w:r>
        <w:rPr>
          <w:color w:val="000000"/>
        </w:rPr>
        <w:t>d</w:t>
      </w:r>
      <w:r w:rsidRPr="007E3805">
        <w:rPr>
          <w:color w:val="000000"/>
        </w:rPr>
        <w:t>es commentaires et observations sur les enregistrements comptables, les systèmes et  les contrôles examinés durant l’audit</w:t>
      </w:r>
      <w:r w:rsidR="00DD4AC7">
        <w:rPr>
          <w:color w:val="000000"/>
        </w:rPr>
        <w:t xml:space="preserve"> ; </w:t>
      </w:r>
    </w:p>
    <w:p w:rsidR="00555F0E" w:rsidRPr="00DD4AC7" w:rsidRDefault="00555F0E" w:rsidP="0089613C">
      <w:pPr>
        <w:numPr>
          <w:ilvl w:val="0"/>
          <w:numId w:val="6"/>
        </w:numPr>
        <w:tabs>
          <w:tab w:val="left" w:pos="720"/>
        </w:tabs>
        <w:autoSpaceDE w:val="0"/>
        <w:autoSpaceDN w:val="0"/>
        <w:adjustRightInd w:val="0"/>
        <w:jc w:val="both"/>
        <w:rPr>
          <w:color w:val="000000"/>
        </w:rPr>
      </w:pPr>
      <w:r>
        <w:rPr>
          <w:color w:val="000000"/>
        </w:rPr>
        <w:t>l</w:t>
      </w:r>
      <w:r w:rsidRPr="007E3805">
        <w:rPr>
          <w:color w:val="000000"/>
        </w:rPr>
        <w:t xml:space="preserve">es insuffisances dans le système de contrôle interne </w:t>
      </w:r>
      <w:r w:rsidR="00324619">
        <w:rPr>
          <w:color w:val="000000"/>
        </w:rPr>
        <w:t xml:space="preserve">identifiées </w:t>
      </w:r>
      <w:r w:rsidRPr="007E3805">
        <w:rPr>
          <w:color w:val="000000"/>
        </w:rPr>
        <w:t xml:space="preserve">et les recommandations pour l’amélioration de ce système; </w:t>
      </w:r>
    </w:p>
    <w:p w:rsidR="00555F0E" w:rsidRPr="00DD4AC7" w:rsidRDefault="00555F0E" w:rsidP="0089613C">
      <w:pPr>
        <w:numPr>
          <w:ilvl w:val="0"/>
          <w:numId w:val="6"/>
        </w:numPr>
        <w:tabs>
          <w:tab w:val="left" w:pos="720"/>
        </w:tabs>
        <w:autoSpaceDE w:val="0"/>
        <w:autoSpaceDN w:val="0"/>
        <w:adjustRightInd w:val="0"/>
        <w:jc w:val="both"/>
        <w:rPr>
          <w:color w:val="000000"/>
        </w:rPr>
      </w:pPr>
      <w:r>
        <w:rPr>
          <w:color w:val="000000"/>
        </w:rPr>
        <w:t>l</w:t>
      </w:r>
      <w:r w:rsidRPr="007E3805">
        <w:rPr>
          <w:color w:val="000000"/>
        </w:rPr>
        <w:t xml:space="preserve">e degré de conformité avec chaque </w:t>
      </w:r>
      <w:r w:rsidR="00013F0C">
        <w:rPr>
          <w:color w:val="000000"/>
        </w:rPr>
        <w:t>clausec</w:t>
      </w:r>
      <w:r w:rsidRPr="007E3805">
        <w:rPr>
          <w:color w:val="000000"/>
        </w:rPr>
        <w:t>ontenu</w:t>
      </w:r>
      <w:r w:rsidR="00013F0C">
        <w:rPr>
          <w:color w:val="000000"/>
        </w:rPr>
        <w:t>e</w:t>
      </w:r>
      <w:r w:rsidRPr="007E3805">
        <w:rPr>
          <w:color w:val="000000"/>
        </w:rPr>
        <w:t xml:space="preserve"> dans l’accord de financement</w:t>
      </w:r>
      <w:r w:rsidR="003B517E">
        <w:rPr>
          <w:color w:val="000000"/>
        </w:rPr>
        <w:t xml:space="preserve"> (incluant le respect des règles de passation de marchés)</w:t>
      </w:r>
      <w:r w:rsidR="003B517E" w:rsidRPr="007E3805">
        <w:rPr>
          <w:color w:val="000000"/>
        </w:rPr>
        <w:t> </w:t>
      </w:r>
      <w:r w:rsidRPr="007E3805">
        <w:rPr>
          <w:color w:val="000000"/>
        </w:rPr>
        <w:t>et les commentaires, si nécessaire, sur les problèmes externes et internes affectant cette conformité ;</w:t>
      </w:r>
    </w:p>
    <w:p w:rsidR="00013F0C" w:rsidRPr="00DD4AC7" w:rsidRDefault="00DD4AC7" w:rsidP="0089613C">
      <w:pPr>
        <w:numPr>
          <w:ilvl w:val="0"/>
          <w:numId w:val="6"/>
        </w:numPr>
        <w:tabs>
          <w:tab w:val="left" w:pos="720"/>
        </w:tabs>
        <w:autoSpaceDE w:val="0"/>
        <w:autoSpaceDN w:val="0"/>
        <w:adjustRightInd w:val="0"/>
        <w:jc w:val="both"/>
        <w:rPr>
          <w:color w:val="000000"/>
        </w:rPr>
      </w:pPr>
      <w:r w:rsidRPr="00013F0C">
        <w:rPr>
          <w:color w:val="000000"/>
        </w:rPr>
        <w:t>les dépenses considérées comme non éligibles et payées à partir du ou des comptes désignés ou réclamées à la Banque mondiale;</w:t>
      </w:r>
    </w:p>
    <w:p w:rsidR="00555F0E" w:rsidRPr="00DD4AC7" w:rsidRDefault="00DD4AC7" w:rsidP="0089613C">
      <w:pPr>
        <w:numPr>
          <w:ilvl w:val="0"/>
          <w:numId w:val="6"/>
        </w:numPr>
        <w:tabs>
          <w:tab w:val="left" w:pos="720"/>
        </w:tabs>
        <w:autoSpaceDE w:val="0"/>
        <w:autoSpaceDN w:val="0"/>
        <w:adjustRightInd w:val="0"/>
        <w:jc w:val="both"/>
        <w:rPr>
          <w:color w:val="000000"/>
        </w:rPr>
      </w:pPr>
      <w:r>
        <w:rPr>
          <w:color w:val="000000"/>
        </w:rPr>
        <w:t>toute situation</w:t>
      </w:r>
      <w:r w:rsidR="00555F0E" w:rsidRPr="007E3805">
        <w:rPr>
          <w:color w:val="000000"/>
        </w:rPr>
        <w:t xml:space="preserve"> identifié</w:t>
      </w:r>
      <w:r>
        <w:rPr>
          <w:color w:val="000000"/>
        </w:rPr>
        <w:t>e</w:t>
      </w:r>
      <w:r w:rsidR="00F61E8C">
        <w:rPr>
          <w:color w:val="000000"/>
        </w:rPr>
        <w:t xml:space="preserve"> durant l’audit susceptible</w:t>
      </w:r>
      <w:r w:rsidR="00555F0E" w:rsidRPr="007E3805">
        <w:rPr>
          <w:color w:val="000000"/>
        </w:rPr>
        <w:t xml:space="preserve"> d’avoir un impact significatif sur l’exécution du Projet ;</w:t>
      </w:r>
    </w:p>
    <w:p w:rsidR="00DD4AC7" w:rsidRDefault="00DD4AC7" w:rsidP="0089613C">
      <w:pPr>
        <w:numPr>
          <w:ilvl w:val="0"/>
          <w:numId w:val="6"/>
        </w:numPr>
        <w:tabs>
          <w:tab w:val="left" w:pos="720"/>
        </w:tabs>
        <w:autoSpaceDE w:val="0"/>
        <w:autoSpaceDN w:val="0"/>
        <w:adjustRightInd w:val="0"/>
        <w:jc w:val="both"/>
        <w:rPr>
          <w:color w:val="000000"/>
        </w:rPr>
      </w:pPr>
      <w:r>
        <w:rPr>
          <w:color w:val="000000"/>
        </w:rPr>
        <w:t>d</w:t>
      </w:r>
      <w:r w:rsidR="00555F0E" w:rsidRPr="007E3805">
        <w:rPr>
          <w:color w:val="000000"/>
        </w:rPr>
        <w:t xml:space="preserve">es commentaires sur les recommandations non exécutées </w:t>
      </w:r>
      <w:r>
        <w:rPr>
          <w:color w:val="000000"/>
        </w:rPr>
        <w:t xml:space="preserve">émanant des </w:t>
      </w:r>
      <w:r w:rsidR="00555F0E" w:rsidRPr="007E3805">
        <w:rPr>
          <w:color w:val="000000"/>
        </w:rPr>
        <w:t>audit</w:t>
      </w:r>
      <w:r>
        <w:rPr>
          <w:color w:val="000000"/>
        </w:rPr>
        <w:t>s</w:t>
      </w:r>
      <w:r w:rsidR="00555F0E" w:rsidRPr="007E3805">
        <w:rPr>
          <w:color w:val="000000"/>
        </w:rPr>
        <w:t xml:space="preserve"> précédents ;</w:t>
      </w:r>
    </w:p>
    <w:p w:rsidR="00555F0E" w:rsidRPr="00DD4AC7" w:rsidRDefault="00DD4AC7" w:rsidP="0089613C">
      <w:pPr>
        <w:numPr>
          <w:ilvl w:val="0"/>
          <w:numId w:val="6"/>
        </w:numPr>
        <w:tabs>
          <w:tab w:val="left" w:pos="720"/>
        </w:tabs>
        <w:autoSpaceDE w:val="0"/>
        <w:autoSpaceDN w:val="0"/>
        <w:adjustRightInd w:val="0"/>
        <w:jc w:val="both"/>
        <w:rPr>
          <w:color w:val="000000"/>
        </w:rPr>
      </w:pPr>
      <w:r>
        <w:rPr>
          <w:color w:val="000000"/>
        </w:rPr>
        <w:t>d</w:t>
      </w:r>
      <w:r w:rsidRPr="007E3805">
        <w:rPr>
          <w:color w:val="000000"/>
        </w:rPr>
        <w:t>es commentaires sur la résolution des anomalies et réserves ;</w:t>
      </w:r>
    </w:p>
    <w:p w:rsidR="00555F0E" w:rsidRPr="007E3805" w:rsidRDefault="00DD4AC7" w:rsidP="0089613C">
      <w:pPr>
        <w:numPr>
          <w:ilvl w:val="0"/>
          <w:numId w:val="6"/>
        </w:numPr>
        <w:tabs>
          <w:tab w:val="left" w:pos="720"/>
        </w:tabs>
        <w:autoSpaceDE w:val="0"/>
        <w:autoSpaceDN w:val="0"/>
        <w:adjustRightInd w:val="0"/>
        <w:jc w:val="both"/>
        <w:rPr>
          <w:color w:val="000000"/>
        </w:rPr>
      </w:pPr>
      <w:r>
        <w:rPr>
          <w:color w:val="000000"/>
        </w:rPr>
        <w:t>d</w:t>
      </w:r>
      <w:r w:rsidR="00555F0E" w:rsidRPr="007E3805">
        <w:rPr>
          <w:color w:val="000000"/>
        </w:rPr>
        <w:t>es commentaires sur tout autre</w:t>
      </w:r>
      <w:r w:rsidR="00013F0C">
        <w:rPr>
          <w:color w:val="000000"/>
        </w:rPr>
        <w:t xml:space="preserve"> problème ou</w:t>
      </w:r>
      <w:r>
        <w:rPr>
          <w:color w:val="000000"/>
        </w:rPr>
        <w:t xml:space="preserve">toute autre </w:t>
      </w:r>
      <w:r w:rsidR="00555F0E" w:rsidRPr="007E3805">
        <w:rPr>
          <w:color w:val="000000"/>
        </w:rPr>
        <w:t>anomalie que l’auditeur jugera pertinent</w:t>
      </w:r>
      <w:r>
        <w:rPr>
          <w:color w:val="000000"/>
        </w:rPr>
        <w:t>,</w:t>
      </w:r>
      <w:r w:rsidR="00555F0E" w:rsidRPr="007E3805">
        <w:rPr>
          <w:color w:val="000000"/>
        </w:rPr>
        <w:t xml:space="preserve"> incluant les dépenses inéligibles.</w:t>
      </w:r>
    </w:p>
    <w:p w:rsidR="00555F0E" w:rsidRPr="007E3805" w:rsidRDefault="00555F0E" w:rsidP="0089613C">
      <w:pPr>
        <w:tabs>
          <w:tab w:val="left" w:pos="720"/>
        </w:tabs>
        <w:autoSpaceDE w:val="0"/>
        <w:autoSpaceDN w:val="0"/>
        <w:adjustRightInd w:val="0"/>
        <w:ind w:left="720"/>
        <w:jc w:val="both"/>
        <w:rPr>
          <w:color w:val="000000"/>
        </w:rPr>
      </w:pPr>
    </w:p>
    <w:p w:rsidR="00555F0E" w:rsidRDefault="00DD4AC7" w:rsidP="0089613C">
      <w:pPr>
        <w:tabs>
          <w:tab w:val="left" w:pos="720"/>
        </w:tabs>
        <w:autoSpaceDE w:val="0"/>
        <w:autoSpaceDN w:val="0"/>
        <w:adjustRightInd w:val="0"/>
        <w:jc w:val="both"/>
        <w:rPr>
          <w:color w:val="000000"/>
        </w:rPr>
      </w:pPr>
      <w:r>
        <w:rPr>
          <w:color w:val="000000"/>
        </w:rPr>
        <w:t>La</w:t>
      </w:r>
      <w:r w:rsidR="00555F0E" w:rsidRPr="007E3805">
        <w:rPr>
          <w:color w:val="000000"/>
        </w:rPr>
        <w:t xml:space="preserve"> lettre de contrôle interne devra inclure les réponses de</w:t>
      </w:r>
      <w:r w:rsidR="00555F0E">
        <w:rPr>
          <w:color w:val="000000"/>
        </w:rPr>
        <w:t xml:space="preserve">sentités d’exécution sur les </w:t>
      </w:r>
      <w:r w:rsidR="00555F0E" w:rsidRPr="007E3805">
        <w:rPr>
          <w:color w:val="000000"/>
        </w:rPr>
        <w:t>insuffisances relevées par l’auditeur</w:t>
      </w:r>
      <w:r>
        <w:rPr>
          <w:color w:val="000000"/>
        </w:rPr>
        <w:t xml:space="preserve">, ainsi que les mesures correctives arrêtées. </w:t>
      </w:r>
    </w:p>
    <w:p w:rsidR="00DD4AC7" w:rsidRDefault="00DD4AC7" w:rsidP="0089613C">
      <w:pPr>
        <w:tabs>
          <w:tab w:val="left" w:pos="720"/>
        </w:tabs>
        <w:autoSpaceDE w:val="0"/>
        <w:autoSpaceDN w:val="0"/>
        <w:adjustRightInd w:val="0"/>
        <w:jc w:val="both"/>
        <w:rPr>
          <w:color w:val="000000"/>
        </w:rPr>
      </w:pPr>
    </w:p>
    <w:p w:rsidR="00555F0E" w:rsidRPr="008F3A18" w:rsidRDefault="00555F0E" w:rsidP="0089613C">
      <w:pPr>
        <w:autoSpaceDE w:val="0"/>
        <w:autoSpaceDN w:val="0"/>
        <w:adjustRightInd w:val="0"/>
        <w:jc w:val="both"/>
        <w:rPr>
          <w:color w:val="000000"/>
        </w:rPr>
      </w:pPr>
    </w:p>
    <w:p w:rsidR="00555F0E" w:rsidRPr="00E058C8" w:rsidRDefault="00555F0E" w:rsidP="0089613C">
      <w:pPr>
        <w:pStyle w:val="Paragraphedeliste"/>
        <w:numPr>
          <w:ilvl w:val="0"/>
          <w:numId w:val="8"/>
        </w:numPr>
        <w:spacing w:line="276" w:lineRule="auto"/>
        <w:ind w:left="567" w:hanging="567"/>
        <w:jc w:val="both"/>
        <w:rPr>
          <w:b/>
          <w:bCs/>
          <w:caps/>
          <w:szCs w:val="24"/>
          <w:u w:val="single"/>
        </w:rPr>
      </w:pPr>
      <w:r w:rsidRPr="00E058C8">
        <w:rPr>
          <w:b/>
          <w:color w:val="000000"/>
          <w:u w:val="single"/>
        </w:rPr>
        <w:t>POINTS GENERAUX</w:t>
      </w:r>
    </w:p>
    <w:p w:rsidR="00555F0E" w:rsidRDefault="00555F0E" w:rsidP="0089613C">
      <w:pPr>
        <w:pStyle w:val="Corpsdetexte"/>
        <w:spacing w:after="0"/>
        <w:rPr>
          <w:b/>
          <w:bCs/>
          <w:caps/>
          <w:szCs w:val="24"/>
          <w:u w:val="single"/>
        </w:rPr>
      </w:pPr>
    </w:p>
    <w:p w:rsidR="00555F0E" w:rsidRPr="003B517E" w:rsidRDefault="00555F0E" w:rsidP="0089613C">
      <w:pPr>
        <w:tabs>
          <w:tab w:val="left" w:pos="720"/>
        </w:tabs>
        <w:autoSpaceDE w:val="0"/>
        <w:autoSpaceDN w:val="0"/>
        <w:adjustRightInd w:val="0"/>
        <w:jc w:val="both"/>
        <w:rPr>
          <w:color w:val="000000"/>
          <w:szCs w:val="24"/>
        </w:rPr>
      </w:pPr>
      <w:r w:rsidRPr="003B517E">
        <w:rPr>
          <w:color w:val="000000"/>
          <w:szCs w:val="24"/>
        </w:rPr>
        <w:t xml:space="preserve">Les états financiers incluant le rapport d’audit, la lettre de contrôle interne et la réponse de l’Unité de </w:t>
      </w:r>
      <w:r w:rsidR="00F61E8C">
        <w:rPr>
          <w:color w:val="000000"/>
          <w:szCs w:val="24"/>
        </w:rPr>
        <w:t>Gestion</w:t>
      </w:r>
      <w:r w:rsidRPr="003B517E">
        <w:rPr>
          <w:color w:val="000000"/>
          <w:szCs w:val="24"/>
        </w:rPr>
        <w:t xml:space="preserve"> du Projet devront parvenir à la Banque dans six mois après la clôture de l’exercice sous revue.</w:t>
      </w:r>
    </w:p>
    <w:p w:rsidR="00DD4AC7" w:rsidRPr="003B517E" w:rsidRDefault="00DD4AC7" w:rsidP="0089613C">
      <w:pPr>
        <w:tabs>
          <w:tab w:val="left" w:pos="720"/>
        </w:tabs>
        <w:autoSpaceDE w:val="0"/>
        <w:autoSpaceDN w:val="0"/>
        <w:adjustRightInd w:val="0"/>
        <w:jc w:val="both"/>
        <w:rPr>
          <w:color w:val="000000"/>
          <w:szCs w:val="24"/>
        </w:rPr>
      </w:pPr>
    </w:p>
    <w:p w:rsidR="00DD4AC7" w:rsidRPr="003B517E" w:rsidRDefault="00DD4AC7" w:rsidP="0089613C">
      <w:pPr>
        <w:tabs>
          <w:tab w:val="left" w:pos="720"/>
        </w:tabs>
        <w:autoSpaceDE w:val="0"/>
        <w:autoSpaceDN w:val="0"/>
        <w:adjustRightInd w:val="0"/>
        <w:jc w:val="both"/>
        <w:rPr>
          <w:color w:val="000000"/>
          <w:szCs w:val="24"/>
        </w:rPr>
      </w:pPr>
      <w:r w:rsidRPr="003B517E">
        <w:rPr>
          <w:color w:val="000000"/>
          <w:szCs w:val="24"/>
        </w:rPr>
        <w:t xml:space="preserve">L’auditeur aura accès à toute la documentation légale, les correspondances et toute autre information relative au Projet qu’il aura jugé nécessaire. Les informations disponibles devraient inclure </w:t>
      </w:r>
      <w:r w:rsidR="00124568" w:rsidRPr="003B517E">
        <w:rPr>
          <w:color w:val="000000"/>
          <w:szCs w:val="24"/>
        </w:rPr>
        <w:t xml:space="preserve">le </w:t>
      </w:r>
      <w:r w:rsidRPr="003B517E">
        <w:rPr>
          <w:color w:val="000000"/>
          <w:szCs w:val="24"/>
        </w:rPr>
        <w:t xml:space="preserve">document d’évaluation du Projet, les accordsde financement, </w:t>
      </w:r>
      <w:r w:rsidR="00124568" w:rsidRPr="003B517E">
        <w:rPr>
          <w:color w:val="000000"/>
          <w:szCs w:val="24"/>
        </w:rPr>
        <w:t xml:space="preserve">les lettres de </w:t>
      </w:r>
      <w:r w:rsidR="00124568" w:rsidRPr="003B517E">
        <w:rPr>
          <w:color w:val="000000"/>
          <w:szCs w:val="24"/>
        </w:rPr>
        <w:lastRenderedPageBreak/>
        <w:t>décaissements et information financière</w:t>
      </w:r>
      <w:r w:rsidR="00FA0AA2">
        <w:rPr>
          <w:color w:val="000000"/>
          <w:szCs w:val="24"/>
        </w:rPr>
        <w:t>,</w:t>
      </w:r>
      <w:r w:rsidR="00124568" w:rsidRPr="003B517E">
        <w:rPr>
          <w:color w:val="000000"/>
          <w:szCs w:val="24"/>
        </w:rPr>
        <w:t xml:space="preserve"> le manuel d’exécution du Projet</w:t>
      </w:r>
      <w:r w:rsidR="00FA0AA2">
        <w:rPr>
          <w:color w:val="000000"/>
          <w:szCs w:val="24"/>
        </w:rPr>
        <w:t xml:space="preserve"> (</w:t>
      </w:r>
      <w:r w:rsidR="00124568" w:rsidRPr="003B517E">
        <w:rPr>
          <w:color w:val="000000"/>
          <w:szCs w:val="24"/>
        </w:rPr>
        <w:t>y compris les procédures financières et de passation des marchés</w:t>
      </w:r>
      <w:r w:rsidR="00FA0AA2">
        <w:rPr>
          <w:color w:val="000000"/>
          <w:szCs w:val="24"/>
        </w:rPr>
        <w:t>)</w:t>
      </w:r>
      <w:r w:rsidR="00722859">
        <w:rPr>
          <w:color w:val="000000"/>
          <w:szCs w:val="24"/>
        </w:rPr>
        <w:t>,</w:t>
      </w:r>
      <w:r w:rsidR="00722859" w:rsidRPr="003B517E">
        <w:rPr>
          <w:bCs/>
          <w:color w:val="000000"/>
          <w:szCs w:val="24"/>
        </w:rPr>
        <w:t xml:space="preserve"> les</w:t>
      </w:r>
      <w:r w:rsidR="00124568" w:rsidRPr="003B517E">
        <w:rPr>
          <w:bCs/>
          <w:color w:val="000000"/>
          <w:szCs w:val="24"/>
        </w:rPr>
        <w:t xml:space="preserve"> rapports de suivi financier périodiques</w:t>
      </w:r>
      <w:r w:rsidR="00FA0AA2">
        <w:rPr>
          <w:bCs/>
          <w:color w:val="000000"/>
          <w:szCs w:val="24"/>
        </w:rPr>
        <w:t xml:space="preserve">, </w:t>
      </w:r>
      <w:r w:rsidR="00124568" w:rsidRPr="003B517E">
        <w:rPr>
          <w:color w:val="000000"/>
          <w:szCs w:val="24"/>
        </w:rPr>
        <w:t>les rapports de supervision financière</w:t>
      </w:r>
      <w:r w:rsidR="00FA0AA2">
        <w:rPr>
          <w:color w:val="000000"/>
          <w:szCs w:val="24"/>
        </w:rPr>
        <w:t>,</w:t>
      </w:r>
      <w:r w:rsidR="00124568" w:rsidRPr="003B517E">
        <w:rPr>
          <w:color w:val="000000"/>
          <w:szCs w:val="24"/>
        </w:rPr>
        <w:t xml:space="preserve"> les aide-mémoires des missions d’appui à la mise en œuvre du projet</w:t>
      </w:r>
      <w:r w:rsidR="00FA0AA2">
        <w:rPr>
          <w:color w:val="000000"/>
          <w:szCs w:val="24"/>
        </w:rPr>
        <w:t>,</w:t>
      </w:r>
      <w:r w:rsidR="00124568" w:rsidRPr="003B517E">
        <w:rPr>
          <w:color w:val="000000"/>
          <w:szCs w:val="24"/>
        </w:rPr>
        <w:t xml:space="preserve"> etc.</w:t>
      </w:r>
    </w:p>
    <w:p w:rsidR="00DD4AC7" w:rsidRPr="003B517E" w:rsidRDefault="00DD4AC7" w:rsidP="0089613C">
      <w:pPr>
        <w:tabs>
          <w:tab w:val="left" w:pos="720"/>
        </w:tabs>
        <w:autoSpaceDE w:val="0"/>
        <w:autoSpaceDN w:val="0"/>
        <w:adjustRightInd w:val="0"/>
        <w:jc w:val="both"/>
        <w:rPr>
          <w:color w:val="000000"/>
          <w:szCs w:val="24"/>
        </w:rPr>
      </w:pPr>
    </w:p>
    <w:p w:rsidR="00DD4AC7" w:rsidRPr="003B517E" w:rsidRDefault="00DD4AC7" w:rsidP="0089613C">
      <w:pPr>
        <w:tabs>
          <w:tab w:val="left" w:pos="720"/>
        </w:tabs>
        <w:autoSpaceDE w:val="0"/>
        <w:autoSpaceDN w:val="0"/>
        <w:adjustRightInd w:val="0"/>
        <w:jc w:val="both"/>
        <w:rPr>
          <w:color w:val="000000"/>
          <w:szCs w:val="24"/>
        </w:rPr>
      </w:pPr>
      <w:r w:rsidRPr="003B517E">
        <w:rPr>
          <w:color w:val="000000"/>
          <w:szCs w:val="24"/>
        </w:rPr>
        <w:t>L’auditeur est encouragé àrencontrer et à discuter de questions liées à l’audit, y compris l’élaboration du plan d’audit, avec l’équipe de projet de la Banque mondiale.</w:t>
      </w:r>
    </w:p>
    <w:p w:rsidR="00555F0E" w:rsidRPr="003B517E" w:rsidRDefault="00555F0E" w:rsidP="0089613C">
      <w:pPr>
        <w:tabs>
          <w:tab w:val="left" w:pos="720"/>
        </w:tabs>
        <w:autoSpaceDE w:val="0"/>
        <w:autoSpaceDN w:val="0"/>
        <w:adjustRightInd w:val="0"/>
        <w:jc w:val="both"/>
        <w:rPr>
          <w:color w:val="000000"/>
          <w:szCs w:val="24"/>
          <w:lang w:val="fr-CA"/>
        </w:rPr>
      </w:pPr>
    </w:p>
    <w:p w:rsidR="00555F0E" w:rsidRPr="00021C15" w:rsidRDefault="00DD4AC7" w:rsidP="0089613C">
      <w:pPr>
        <w:jc w:val="both"/>
        <w:rPr>
          <w:szCs w:val="24"/>
          <w:lang w:val="fr-CA"/>
        </w:rPr>
      </w:pPr>
      <w:r w:rsidRPr="003B517E">
        <w:rPr>
          <w:szCs w:val="24"/>
          <w:lang w:val="fr-CA"/>
        </w:rPr>
        <w:t>Il est souhaitable que l’auditeur ait pris connaissance des exigences en matière d’établissement des rapports financiers et d’audit financier reprises dans les Politiques et Directives de la Banque mondiale en matière de financement des projets d’investissement (1</w:t>
      </w:r>
      <w:r w:rsidRPr="003B517E">
        <w:rPr>
          <w:szCs w:val="24"/>
          <w:vertAlign w:val="superscript"/>
          <w:lang w:val="fr-CA"/>
        </w:rPr>
        <w:t>er</w:t>
      </w:r>
      <w:r w:rsidRPr="003B517E">
        <w:rPr>
          <w:szCs w:val="24"/>
          <w:lang w:val="fr-CA"/>
        </w:rPr>
        <w:t xml:space="preserve"> octobre 2018). L’auditeur consultera également le Règlement de passation des marchés pour les emprunteurs sollicitant le financement de projet d’investissement (1</w:t>
      </w:r>
      <w:r w:rsidRPr="003B517E">
        <w:rPr>
          <w:szCs w:val="24"/>
          <w:vertAlign w:val="superscript"/>
          <w:lang w:val="fr-CA"/>
        </w:rPr>
        <w:t>er</w:t>
      </w:r>
      <w:r w:rsidRPr="003B517E">
        <w:rPr>
          <w:szCs w:val="24"/>
          <w:lang w:val="fr-CA"/>
        </w:rPr>
        <w:t xml:space="preserve"> aout 2018) et le Manuel de décaissement de la Banque mondiale (février 2017). </w:t>
      </w:r>
    </w:p>
    <w:p w:rsidR="00EF40E8" w:rsidRDefault="00EF40E8" w:rsidP="0089613C">
      <w:pPr>
        <w:pStyle w:val="Corpsdetexte"/>
        <w:spacing w:after="0"/>
        <w:rPr>
          <w:b/>
          <w:bCs/>
          <w:caps/>
          <w:szCs w:val="24"/>
          <w:u w:val="single"/>
        </w:rPr>
      </w:pPr>
    </w:p>
    <w:p w:rsidR="00EF40E8" w:rsidRPr="00E058C8" w:rsidRDefault="00EF40E8" w:rsidP="0089613C">
      <w:pPr>
        <w:pStyle w:val="Corpsdetexte"/>
        <w:spacing w:after="0"/>
        <w:rPr>
          <w:b/>
          <w:bCs/>
          <w:caps/>
          <w:szCs w:val="24"/>
          <w:u w:val="single"/>
        </w:rPr>
      </w:pPr>
    </w:p>
    <w:p w:rsidR="00555F0E" w:rsidRPr="00E058C8" w:rsidRDefault="00555F0E" w:rsidP="0089613C">
      <w:pPr>
        <w:pStyle w:val="Paragraphedeliste"/>
        <w:numPr>
          <w:ilvl w:val="0"/>
          <w:numId w:val="8"/>
        </w:numPr>
        <w:spacing w:line="276" w:lineRule="auto"/>
        <w:ind w:left="567" w:hanging="567"/>
        <w:jc w:val="both"/>
        <w:rPr>
          <w:b/>
          <w:bCs/>
          <w:caps/>
          <w:szCs w:val="24"/>
          <w:u w:val="single"/>
        </w:rPr>
      </w:pPr>
      <w:r w:rsidRPr="00E058C8">
        <w:rPr>
          <w:b/>
          <w:color w:val="000000"/>
          <w:u w:val="single"/>
        </w:rPr>
        <w:t>QUALITE DE L’AUDITEUR</w:t>
      </w:r>
    </w:p>
    <w:p w:rsidR="00555F0E" w:rsidRDefault="00555F0E" w:rsidP="0089613C">
      <w:pPr>
        <w:pStyle w:val="Corpsdetexte"/>
        <w:spacing w:after="0"/>
        <w:rPr>
          <w:b/>
          <w:bCs/>
          <w:caps/>
          <w:szCs w:val="24"/>
          <w:u w:val="single"/>
        </w:rPr>
      </w:pPr>
    </w:p>
    <w:p w:rsidR="000C0C9A" w:rsidRPr="00DD6C09" w:rsidRDefault="00555F0E" w:rsidP="0089613C">
      <w:pPr>
        <w:spacing w:before="100" w:beforeAutospacing="1" w:after="100" w:afterAutospacing="1"/>
        <w:jc w:val="both"/>
        <w:rPr>
          <w:szCs w:val="24"/>
        </w:rPr>
      </w:pPr>
      <w:r w:rsidRPr="00860308">
        <w:rPr>
          <w:iCs/>
        </w:rPr>
        <w:t xml:space="preserve">Le Consultant doit être un Cabinetd’Audit et d’Expertise Comptable </w:t>
      </w:r>
      <w:r w:rsidRPr="00860308">
        <w:t>indépendant, faisant profession habituelle de réviser les comptes</w:t>
      </w:r>
      <w:r w:rsidRPr="00797371">
        <w:rPr>
          <w:iCs/>
        </w:rPr>
        <w:t>, régulièrement inscrit au Tableau</w:t>
      </w:r>
      <w:r w:rsidRPr="00860308">
        <w:rPr>
          <w:iCs/>
        </w:rPr>
        <w:t xml:space="preserve"> d’un </w:t>
      </w:r>
      <w:bookmarkStart w:id="3" w:name="_Hlk15392352"/>
      <w:r w:rsidRPr="00860308">
        <w:rPr>
          <w:iCs/>
        </w:rPr>
        <w:t xml:space="preserve">Ordre des Experts </w:t>
      </w:r>
      <w:r w:rsidRPr="00797371">
        <w:rPr>
          <w:iCs/>
        </w:rPr>
        <w:t>Comptables</w:t>
      </w:r>
      <w:r w:rsidR="00F60113">
        <w:rPr>
          <w:iCs/>
        </w:rPr>
        <w:t xml:space="preserve"> auditeurs</w:t>
      </w:r>
      <w:r w:rsidR="00797371" w:rsidRPr="00797371">
        <w:rPr>
          <w:iCs/>
        </w:rPr>
        <w:t xml:space="preserve"> qui est</w:t>
      </w:r>
      <w:bookmarkEnd w:id="3"/>
      <w:r w:rsidR="007D1E78" w:rsidRPr="00797371">
        <w:rPr>
          <w:iCs/>
        </w:rPr>
        <w:t>membre actif de</w:t>
      </w:r>
      <w:r w:rsidR="007D1E78">
        <w:rPr>
          <w:iCs/>
        </w:rPr>
        <w:t xml:space="preserve"> l’IFAC ou</w:t>
      </w:r>
      <w:r w:rsidR="006A2555">
        <w:rPr>
          <w:iCs/>
        </w:rPr>
        <w:t xml:space="preserve"> dela FIDEF</w:t>
      </w:r>
      <w:r w:rsidR="00797371">
        <w:rPr>
          <w:iCs/>
        </w:rPr>
        <w:t xml:space="preserve">. </w:t>
      </w:r>
      <w:r w:rsidR="000C0C9A">
        <w:rPr>
          <w:iCs/>
        </w:rPr>
        <w:t>Le Cabinet</w:t>
      </w:r>
      <w:r w:rsidR="000C0C9A">
        <w:rPr>
          <w:iCs/>
          <w:szCs w:val="24"/>
        </w:rPr>
        <w:t xml:space="preserve"> doit avoir minimum dix (10) ans d’expériences en audits financiers et comptables d’ordre général et avoir effectué </w:t>
      </w:r>
      <w:r w:rsidR="000C0C9A" w:rsidRPr="00DD6C09">
        <w:rPr>
          <w:iCs/>
          <w:szCs w:val="24"/>
        </w:rPr>
        <w:t xml:space="preserve">5 missions </w:t>
      </w:r>
      <w:r w:rsidR="000C0C9A" w:rsidRPr="00DD6C09">
        <w:rPr>
          <w:szCs w:val="24"/>
        </w:rPr>
        <w:t>pour des projets de développement au cours des cinq (05) dernières années dont 3 pour des projets financés par la Banque Mondiale</w:t>
      </w:r>
    </w:p>
    <w:p w:rsidR="007D1E78" w:rsidRDefault="00193EAF" w:rsidP="0089613C">
      <w:pPr>
        <w:pStyle w:val="Default"/>
        <w:jc w:val="both"/>
        <w:rPr>
          <w:szCs w:val="22"/>
          <w:lang w:val="fr-FR"/>
        </w:rPr>
      </w:pPr>
      <w:r w:rsidRPr="00D83581">
        <w:rPr>
          <w:szCs w:val="20"/>
          <w:lang w:val="fr-FR"/>
        </w:rPr>
        <w:t xml:space="preserve">Le personnel clé de la mission d’audit doit comprendre au </w:t>
      </w:r>
      <w:r>
        <w:rPr>
          <w:szCs w:val="20"/>
          <w:lang w:val="fr-FR"/>
        </w:rPr>
        <w:t xml:space="preserve">minimum : </w:t>
      </w:r>
    </w:p>
    <w:p w:rsidR="00555F0E" w:rsidRDefault="00555F0E" w:rsidP="0089613C">
      <w:pPr>
        <w:jc w:val="both"/>
        <w:rPr>
          <w:lang w:val="fr-BE"/>
        </w:rPr>
      </w:pPr>
    </w:p>
    <w:p w:rsidR="00FA5A5E" w:rsidRDefault="00FA5A5E" w:rsidP="0089613C">
      <w:pPr>
        <w:jc w:val="both"/>
        <w:rPr>
          <w:lang w:val="fr-BE"/>
        </w:rPr>
      </w:pPr>
    </w:p>
    <w:p w:rsidR="00F65DD3" w:rsidRDefault="00EE1116" w:rsidP="0089613C">
      <w:pPr>
        <w:numPr>
          <w:ilvl w:val="0"/>
          <w:numId w:val="20"/>
        </w:numPr>
        <w:ind w:left="360"/>
        <w:jc w:val="both"/>
      </w:pPr>
      <w:r w:rsidRPr="00CE21AE">
        <w:t>Un</w:t>
      </w:r>
      <w:r w:rsidR="00CE669C" w:rsidRPr="00CE21AE">
        <w:t xml:space="preserve"> (01) expert-comptable diplômé</w:t>
      </w:r>
      <w:r w:rsidR="00CE669C">
        <w:t>, directeur de mission</w:t>
      </w:r>
      <w:r w:rsidR="00CE669C" w:rsidRPr="00CE21AE">
        <w:t xml:space="preserve"> disposant d'au moins dix (10) années</w:t>
      </w:r>
      <w:r w:rsidR="00F65DD3">
        <w:t xml:space="preserve"> d’expérience pertinente </w:t>
      </w:r>
      <w:r w:rsidR="00CE669C" w:rsidRPr="00CE21AE">
        <w:t>en audit</w:t>
      </w:r>
      <w:r w:rsidR="00F65DD3">
        <w:t xml:space="preserve"> f</w:t>
      </w:r>
      <w:r w:rsidR="00F65DD3" w:rsidRPr="00F65DD3">
        <w:t xml:space="preserve">inancier de projets de développement </w:t>
      </w:r>
      <w:r w:rsidR="00F65DD3">
        <w:t>financés par les bailleurs internationaux, tels que la Banque mondiale ou la Banque africaine de développement</w:t>
      </w:r>
      <w:r w:rsidR="00D8710C">
        <w:t>. L</w:t>
      </w:r>
      <w:r w:rsidR="00D8710C" w:rsidRPr="00FA5A5E">
        <w:t>e directeur de mission doit être détenteur d’un diplôme d’expertise comptable reconnu à l’échelle internationale et doit être inscrit au Tableau d’un Ordre des Experts Comptables qui est membre actif de l’IFAC ou de la FIDEF.</w:t>
      </w:r>
    </w:p>
    <w:p w:rsidR="00311325" w:rsidRDefault="00311325" w:rsidP="0089613C">
      <w:pPr>
        <w:ind w:left="360"/>
        <w:jc w:val="both"/>
      </w:pPr>
    </w:p>
    <w:p w:rsidR="00EE1116" w:rsidRDefault="00F65DD3" w:rsidP="0089613C">
      <w:pPr>
        <w:numPr>
          <w:ilvl w:val="0"/>
          <w:numId w:val="20"/>
        </w:numPr>
        <w:ind w:left="360"/>
        <w:jc w:val="both"/>
      </w:pPr>
      <w:r>
        <w:t>Un</w:t>
      </w:r>
      <w:r w:rsidR="00EE1116">
        <w:t xml:space="preserve"> (01)</w:t>
      </w:r>
      <w:r>
        <w:t xml:space="preserve"> auditeur chargé</w:t>
      </w:r>
      <w:r w:rsidR="00FA0AA2">
        <w:t xml:space="preserve"> de</w:t>
      </w:r>
      <w:r w:rsidRPr="00F65DD3">
        <w:t xml:space="preserve">la supervision de la mission sur le </w:t>
      </w:r>
      <w:r w:rsidR="00EF40E8" w:rsidRPr="00F65DD3">
        <w:t>terrain</w:t>
      </w:r>
      <w:r w:rsidR="00EF40E8">
        <w:t>, ayant</w:t>
      </w:r>
      <w:r w:rsidR="00EE1116">
        <w:t xml:space="preserve"> au minimum un</w:t>
      </w:r>
      <w:r w:rsidRPr="00F65DD3">
        <w:t xml:space="preserve"> diplôme </w:t>
      </w:r>
      <w:r w:rsidR="00EE1116">
        <w:t xml:space="preserve">de niveau </w:t>
      </w:r>
      <w:r w:rsidRPr="00F65DD3">
        <w:t xml:space="preserve">BAC+5 en comptabilité, finance, audit ou toute autre matière connexe et </w:t>
      </w:r>
      <w:r w:rsidR="00EE1116" w:rsidRPr="00EE1116">
        <w:t xml:space="preserve">disposant d'au moins </w:t>
      </w:r>
      <w:r w:rsidR="00EE1116">
        <w:t>cinq</w:t>
      </w:r>
      <w:r w:rsidR="00EE1116" w:rsidRPr="00EE1116">
        <w:t xml:space="preserve"> (</w:t>
      </w:r>
      <w:r w:rsidR="00EE1116">
        <w:t>5</w:t>
      </w:r>
      <w:r w:rsidR="00EE1116" w:rsidRPr="00EE1116">
        <w:t xml:space="preserve">) années d’expérience pertinente en audit financier de projets de développement financés par les bailleurs internationaux, tels que la Banque mondiale ou la Banque africaine de développement ; </w:t>
      </w:r>
    </w:p>
    <w:p w:rsidR="00311325" w:rsidRPr="00EE1116" w:rsidRDefault="00311325" w:rsidP="0089613C">
      <w:pPr>
        <w:jc w:val="both"/>
      </w:pPr>
    </w:p>
    <w:p w:rsidR="00EE1116" w:rsidRDefault="00EE1116" w:rsidP="0089613C">
      <w:pPr>
        <w:numPr>
          <w:ilvl w:val="0"/>
          <w:numId w:val="20"/>
        </w:numPr>
        <w:ind w:left="360"/>
        <w:jc w:val="both"/>
      </w:pPr>
      <w:r w:rsidRPr="00CE21AE">
        <w:t xml:space="preserve">Un </w:t>
      </w:r>
      <w:r>
        <w:t>(01) s</w:t>
      </w:r>
      <w:r w:rsidRPr="00CE21AE">
        <w:t xml:space="preserve">pécialiste en Passation des marchés </w:t>
      </w:r>
      <w:r>
        <w:t>ayant au minimum un</w:t>
      </w:r>
      <w:r w:rsidRPr="00F65DD3">
        <w:t xml:space="preserve"> diplôme </w:t>
      </w:r>
      <w:r>
        <w:t xml:space="preserve">de niveau </w:t>
      </w:r>
      <w:r w:rsidRPr="00F65DD3">
        <w:t xml:space="preserve">BAC+5 </w:t>
      </w:r>
      <w:r>
        <w:t xml:space="preserve">en économie, gestion, droit ou ingénierie </w:t>
      </w:r>
      <w:r w:rsidRPr="00F65DD3">
        <w:t xml:space="preserve">ou toute autre matière </w:t>
      </w:r>
      <w:r w:rsidR="002F0EC5">
        <w:t>jugée pertinente</w:t>
      </w:r>
      <w:r w:rsidRPr="00F65DD3">
        <w:t xml:space="preserve"> et </w:t>
      </w:r>
      <w:r w:rsidRPr="00EE1116">
        <w:t xml:space="preserve">disposant d'au moins </w:t>
      </w:r>
      <w:r>
        <w:t>cinq</w:t>
      </w:r>
      <w:r w:rsidRPr="00EE1116">
        <w:t xml:space="preserve"> (</w:t>
      </w:r>
      <w:r>
        <w:t>5</w:t>
      </w:r>
      <w:r w:rsidRPr="00EE1116">
        <w:t xml:space="preserve">) années d’expérience pertinente </w:t>
      </w:r>
      <w:r>
        <w:t>dans ce domaine pour des</w:t>
      </w:r>
      <w:r w:rsidRPr="00EE1116">
        <w:t xml:space="preserve"> </w:t>
      </w:r>
      <w:r w:rsidRPr="00EE1116">
        <w:lastRenderedPageBreak/>
        <w:t xml:space="preserve">projets de développement financés par les bailleurs internationaux, tels que la Banque mondiale ou la Banque africaine de développement ; </w:t>
      </w:r>
    </w:p>
    <w:p w:rsidR="00311325" w:rsidRDefault="00311325" w:rsidP="0089613C">
      <w:pPr>
        <w:jc w:val="both"/>
      </w:pPr>
    </w:p>
    <w:p w:rsidR="00FA5A5E" w:rsidRPr="00EE1116" w:rsidRDefault="00555F0E" w:rsidP="0089613C">
      <w:pPr>
        <w:numPr>
          <w:ilvl w:val="0"/>
          <w:numId w:val="20"/>
        </w:numPr>
        <w:ind w:left="360"/>
        <w:jc w:val="both"/>
      </w:pPr>
      <w:r w:rsidRPr="00EE1116">
        <w:rPr>
          <w:szCs w:val="24"/>
          <w:lang w:val="fr-BE"/>
        </w:rPr>
        <w:t>Deux (</w:t>
      </w:r>
      <w:r w:rsidR="00EE1116">
        <w:rPr>
          <w:szCs w:val="24"/>
          <w:lang w:val="fr-BE"/>
        </w:rPr>
        <w:t>0</w:t>
      </w:r>
      <w:r w:rsidRPr="00EE1116">
        <w:rPr>
          <w:szCs w:val="24"/>
          <w:lang w:val="fr-BE"/>
        </w:rPr>
        <w:t xml:space="preserve">2) </w:t>
      </w:r>
      <w:r w:rsidR="00EE1116">
        <w:rPr>
          <w:szCs w:val="24"/>
          <w:lang w:val="fr-BE"/>
        </w:rPr>
        <w:t>auditeurs</w:t>
      </w:r>
      <w:r w:rsidRPr="00EE1116">
        <w:rPr>
          <w:szCs w:val="24"/>
          <w:lang w:val="fr-BE"/>
        </w:rPr>
        <w:t xml:space="preserve"> confirmés</w:t>
      </w:r>
      <w:r w:rsidR="00EE1116">
        <w:rPr>
          <w:szCs w:val="24"/>
          <w:lang w:val="fr-BE"/>
        </w:rPr>
        <w:t xml:space="preserve">, </w:t>
      </w:r>
      <w:r w:rsidR="00EE1116">
        <w:t>ayant au minimum un</w:t>
      </w:r>
      <w:r w:rsidR="00EE1116" w:rsidRPr="00F65DD3">
        <w:t xml:space="preserve"> diplôme </w:t>
      </w:r>
      <w:r w:rsidR="00EE1116">
        <w:t xml:space="preserve">de niveau </w:t>
      </w:r>
      <w:r w:rsidR="00EE1116" w:rsidRPr="00F65DD3">
        <w:t>BAC+</w:t>
      </w:r>
      <w:r w:rsidR="00EE1116">
        <w:t>4</w:t>
      </w:r>
      <w:r w:rsidR="00EE1116" w:rsidRPr="00F65DD3">
        <w:t xml:space="preserve"> en comptabilité, finance, audit ou toute autre matière connexe et </w:t>
      </w:r>
      <w:r w:rsidR="00EE1116" w:rsidRPr="00EE1116">
        <w:t xml:space="preserve">disposant d'au moins </w:t>
      </w:r>
      <w:r w:rsidR="00EE1116">
        <w:t>trois</w:t>
      </w:r>
      <w:r w:rsidR="00EE1116" w:rsidRPr="00EE1116">
        <w:t xml:space="preserve"> (</w:t>
      </w:r>
      <w:r w:rsidR="00EE1116">
        <w:t>3</w:t>
      </w:r>
      <w:r w:rsidR="00EE1116" w:rsidRPr="00EE1116">
        <w:t>) années d’expérience pertinente en audit financier de projets de développement financés par les bailleurs internationaux, tels que la Banque mondiale ou la Banque africaine de développement</w:t>
      </w:r>
      <w:r w:rsidR="00FA5A5E">
        <w:t xml:space="preserve">. </w:t>
      </w:r>
    </w:p>
    <w:p w:rsidR="00555F0E" w:rsidRPr="00E5598F" w:rsidRDefault="00555F0E" w:rsidP="0089613C">
      <w:pPr>
        <w:ind w:left="720"/>
        <w:jc w:val="both"/>
        <w:rPr>
          <w:szCs w:val="24"/>
          <w:lang w:val="fr-BE"/>
        </w:rPr>
      </w:pPr>
    </w:p>
    <w:p w:rsidR="007F49C9" w:rsidRPr="00555F0E" w:rsidRDefault="007F49C9" w:rsidP="0089613C">
      <w:pPr>
        <w:jc w:val="both"/>
        <w:rPr>
          <w:lang w:val="fr-BE"/>
        </w:rPr>
      </w:pPr>
    </w:p>
    <w:sectPr w:rsidR="007F49C9" w:rsidRPr="00555F0E" w:rsidSect="00A972B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9A42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A42F4" w16cid:durableId="23726C1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E88" w:rsidRDefault="00E90E88" w:rsidP="003B517E">
      <w:r>
        <w:separator/>
      </w:r>
    </w:p>
  </w:endnote>
  <w:endnote w:type="continuationSeparator" w:id="1">
    <w:p w:rsidR="00E90E88" w:rsidRDefault="00E90E88" w:rsidP="003B5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E88" w:rsidRDefault="00E90E88" w:rsidP="003B517E">
      <w:r>
        <w:separator/>
      </w:r>
    </w:p>
  </w:footnote>
  <w:footnote w:type="continuationSeparator" w:id="1">
    <w:p w:rsidR="00E90E88" w:rsidRDefault="00E90E88" w:rsidP="003B5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2E65"/>
    <w:multiLevelType w:val="hybridMultilevel"/>
    <w:tmpl w:val="9656F36A"/>
    <w:lvl w:ilvl="0" w:tplc="A356A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A28D3"/>
    <w:multiLevelType w:val="hybridMultilevel"/>
    <w:tmpl w:val="7430E612"/>
    <w:lvl w:ilvl="0" w:tplc="C500346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37B5CAF"/>
    <w:multiLevelType w:val="hybridMultilevel"/>
    <w:tmpl w:val="64CEBB28"/>
    <w:lvl w:ilvl="0" w:tplc="55FAC43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FE136C"/>
    <w:multiLevelType w:val="hybridMultilevel"/>
    <w:tmpl w:val="43209BC6"/>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99A0D8C"/>
    <w:multiLevelType w:val="hybridMultilevel"/>
    <w:tmpl w:val="AA2AC058"/>
    <w:lvl w:ilvl="0" w:tplc="04090017">
      <w:start w:val="1"/>
      <w:numFmt w:val="lowerLetter"/>
      <w:lvlText w:val="%1)"/>
      <w:lvlJc w:val="left"/>
      <w:pPr>
        <w:tabs>
          <w:tab w:val="num" w:pos="1440"/>
        </w:tabs>
        <w:ind w:left="1440" w:hanging="360"/>
      </w:pPr>
      <w:rPr>
        <w:rFonts w:hint="default"/>
      </w:rPr>
    </w:lvl>
    <w:lvl w:ilvl="1" w:tplc="893E782A">
      <w:start w:val="7"/>
      <w:numFmt w:val="bullet"/>
      <w:lvlText w:val="-"/>
      <w:lvlJc w:val="left"/>
      <w:pPr>
        <w:tabs>
          <w:tab w:val="num" w:pos="2160"/>
        </w:tabs>
        <w:ind w:left="2160" w:hanging="360"/>
      </w:pPr>
      <w:rPr>
        <w:rFonts w:ascii="Tms Rmn" w:eastAsia="Times New Roman" w:hAnsi="Tms Rmn" w:cs="Tms Rm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BA31506"/>
    <w:multiLevelType w:val="hybridMultilevel"/>
    <w:tmpl w:val="B6623D58"/>
    <w:lvl w:ilvl="0" w:tplc="04090017">
      <w:start w:val="1"/>
      <w:numFmt w:val="lowerLetter"/>
      <w:lvlText w:val="%1)"/>
      <w:lvlJc w:val="left"/>
      <w:pPr>
        <w:tabs>
          <w:tab w:val="num" w:pos="1440"/>
        </w:tabs>
        <w:ind w:left="1440" w:hanging="360"/>
      </w:pPr>
    </w:lvl>
    <w:lvl w:ilvl="1" w:tplc="BA5267EC">
      <w:numFmt w:val="bullet"/>
      <w:lvlText w:val="•"/>
      <w:lvlJc w:val="left"/>
      <w:pPr>
        <w:ind w:left="2520" w:hanging="72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BDD5F20"/>
    <w:multiLevelType w:val="hybridMultilevel"/>
    <w:tmpl w:val="61289502"/>
    <w:lvl w:ilvl="0" w:tplc="DD662380">
      <w:start w:val="6"/>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DE52ADD"/>
    <w:multiLevelType w:val="hybridMultilevel"/>
    <w:tmpl w:val="A126A7A8"/>
    <w:lvl w:ilvl="0" w:tplc="BC767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355B5"/>
    <w:multiLevelType w:val="hybridMultilevel"/>
    <w:tmpl w:val="6BEA5DF6"/>
    <w:lvl w:ilvl="0" w:tplc="04090001">
      <w:start w:val="1"/>
      <w:numFmt w:val="bullet"/>
      <w:lvlText w:val=""/>
      <w:lvlJc w:val="left"/>
      <w:pPr>
        <w:tabs>
          <w:tab w:val="num" w:pos="720"/>
        </w:tabs>
        <w:ind w:left="720" w:hanging="360"/>
      </w:pPr>
      <w:rPr>
        <w:rFonts w:ascii="Symbol" w:hAnsi="Symbol" w:hint="default"/>
      </w:rPr>
    </w:lvl>
    <w:lvl w:ilvl="1" w:tplc="BA5267EC">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5D5BAD"/>
    <w:multiLevelType w:val="hybridMultilevel"/>
    <w:tmpl w:val="8A044EAA"/>
    <w:lvl w:ilvl="0" w:tplc="559EE3AC">
      <w:start w:val="1"/>
      <w:numFmt w:val="lowerRoman"/>
      <w:lvlText w:val="%1)"/>
      <w:lvlJc w:val="left"/>
      <w:pPr>
        <w:ind w:left="720" w:hanging="360"/>
      </w:pPr>
      <w:rPr>
        <w:rFonts w:ascii="Times New Roman" w:eastAsia="Times New Roman" w:hAnsi="Times New Roman" w:cs="Times New Roman"/>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CD6624"/>
    <w:multiLevelType w:val="hybridMultilevel"/>
    <w:tmpl w:val="83584E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9B2C6B"/>
    <w:multiLevelType w:val="hybridMultilevel"/>
    <w:tmpl w:val="2B1C3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2E437C8"/>
    <w:multiLevelType w:val="hybridMultilevel"/>
    <w:tmpl w:val="4A74A6E8"/>
    <w:lvl w:ilvl="0" w:tplc="C2F855FE">
      <w:start w:val="10"/>
      <w:numFmt w:val="bullet"/>
      <w:lvlText w:val="-"/>
      <w:lvlJc w:val="left"/>
      <w:pPr>
        <w:ind w:left="86" w:hanging="360"/>
      </w:pPr>
      <w:rPr>
        <w:rFonts w:ascii="Calibri" w:eastAsia="Times New Roman" w:hAnsi="Calibri" w:cs="Calibri" w:hint="default"/>
      </w:rPr>
    </w:lvl>
    <w:lvl w:ilvl="1" w:tplc="040C0003" w:tentative="1">
      <w:start w:val="1"/>
      <w:numFmt w:val="bullet"/>
      <w:lvlText w:val="o"/>
      <w:lvlJc w:val="left"/>
      <w:pPr>
        <w:ind w:left="806" w:hanging="360"/>
      </w:pPr>
      <w:rPr>
        <w:rFonts w:ascii="Courier New" w:hAnsi="Courier New" w:cs="Courier New" w:hint="default"/>
      </w:rPr>
    </w:lvl>
    <w:lvl w:ilvl="2" w:tplc="040C0005" w:tentative="1">
      <w:start w:val="1"/>
      <w:numFmt w:val="bullet"/>
      <w:lvlText w:val=""/>
      <w:lvlJc w:val="left"/>
      <w:pPr>
        <w:ind w:left="1526" w:hanging="360"/>
      </w:pPr>
      <w:rPr>
        <w:rFonts w:ascii="Wingdings" w:hAnsi="Wingdings" w:hint="default"/>
      </w:rPr>
    </w:lvl>
    <w:lvl w:ilvl="3" w:tplc="040C0001" w:tentative="1">
      <w:start w:val="1"/>
      <w:numFmt w:val="bullet"/>
      <w:lvlText w:val=""/>
      <w:lvlJc w:val="left"/>
      <w:pPr>
        <w:ind w:left="2246" w:hanging="360"/>
      </w:pPr>
      <w:rPr>
        <w:rFonts w:ascii="Symbol" w:hAnsi="Symbol" w:hint="default"/>
      </w:rPr>
    </w:lvl>
    <w:lvl w:ilvl="4" w:tplc="040C0003" w:tentative="1">
      <w:start w:val="1"/>
      <w:numFmt w:val="bullet"/>
      <w:lvlText w:val="o"/>
      <w:lvlJc w:val="left"/>
      <w:pPr>
        <w:ind w:left="2966" w:hanging="360"/>
      </w:pPr>
      <w:rPr>
        <w:rFonts w:ascii="Courier New" w:hAnsi="Courier New" w:cs="Courier New" w:hint="default"/>
      </w:rPr>
    </w:lvl>
    <w:lvl w:ilvl="5" w:tplc="040C0005" w:tentative="1">
      <w:start w:val="1"/>
      <w:numFmt w:val="bullet"/>
      <w:lvlText w:val=""/>
      <w:lvlJc w:val="left"/>
      <w:pPr>
        <w:ind w:left="3686" w:hanging="360"/>
      </w:pPr>
      <w:rPr>
        <w:rFonts w:ascii="Wingdings" w:hAnsi="Wingdings" w:hint="default"/>
      </w:rPr>
    </w:lvl>
    <w:lvl w:ilvl="6" w:tplc="040C0001" w:tentative="1">
      <w:start w:val="1"/>
      <w:numFmt w:val="bullet"/>
      <w:lvlText w:val=""/>
      <w:lvlJc w:val="left"/>
      <w:pPr>
        <w:ind w:left="4406" w:hanging="360"/>
      </w:pPr>
      <w:rPr>
        <w:rFonts w:ascii="Symbol" w:hAnsi="Symbol" w:hint="default"/>
      </w:rPr>
    </w:lvl>
    <w:lvl w:ilvl="7" w:tplc="040C0003" w:tentative="1">
      <w:start w:val="1"/>
      <w:numFmt w:val="bullet"/>
      <w:lvlText w:val="o"/>
      <w:lvlJc w:val="left"/>
      <w:pPr>
        <w:ind w:left="5126" w:hanging="360"/>
      </w:pPr>
      <w:rPr>
        <w:rFonts w:ascii="Courier New" w:hAnsi="Courier New" w:cs="Courier New" w:hint="default"/>
      </w:rPr>
    </w:lvl>
    <w:lvl w:ilvl="8" w:tplc="040C0005" w:tentative="1">
      <w:start w:val="1"/>
      <w:numFmt w:val="bullet"/>
      <w:lvlText w:val=""/>
      <w:lvlJc w:val="left"/>
      <w:pPr>
        <w:ind w:left="5846" w:hanging="360"/>
      </w:pPr>
      <w:rPr>
        <w:rFonts w:ascii="Wingdings" w:hAnsi="Wingdings" w:hint="default"/>
      </w:rPr>
    </w:lvl>
  </w:abstractNum>
  <w:abstractNum w:abstractNumId="13">
    <w:nsid w:val="605449F6"/>
    <w:multiLevelType w:val="hybridMultilevel"/>
    <w:tmpl w:val="54606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E590AEE"/>
    <w:multiLevelType w:val="hybridMultilevel"/>
    <w:tmpl w:val="FEBCF8E6"/>
    <w:lvl w:ilvl="0" w:tplc="DE36536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C65F0B"/>
    <w:multiLevelType w:val="hybridMultilevel"/>
    <w:tmpl w:val="C890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42F6C"/>
    <w:multiLevelType w:val="hybridMultilevel"/>
    <w:tmpl w:val="3B8E2C62"/>
    <w:lvl w:ilvl="0" w:tplc="4744685E">
      <w:start w:val="1"/>
      <w:numFmt w:val="lowerLetter"/>
      <w:lvlText w:val="%1)"/>
      <w:lvlJc w:val="left"/>
      <w:pPr>
        <w:tabs>
          <w:tab w:val="num" w:pos="765"/>
        </w:tabs>
        <w:ind w:left="765" w:hanging="405"/>
      </w:pPr>
      <w:rPr>
        <w:rFonts w:hint="default"/>
      </w:rPr>
    </w:lvl>
    <w:lvl w:ilvl="1" w:tplc="F8100600">
      <w:start w:val="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53F3ECC"/>
    <w:multiLevelType w:val="hybridMultilevel"/>
    <w:tmpl w:val="04022924"/>
    <w:lvl w:ilvl="0" w:tplc="621C54D6">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2A12A5"/>
    <w:multiLevelType w:val="hybridMultilevel"/>
    <w:tmpl w:val="EC1CB0CC"/>
    <w:lvl w:ilvl="0" w:tplc="22BA8BA2">
      <w:start w:val="1"/>
      <w:numFmt w:val="lowerLetter"/>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E380F1A"/>
    <w:multiLevelType w:val="hybridMultilevel"/>
    <w:tmpl w:val="F60C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F524E9"/>
    <w:multiLevelType w:val="hybridMultilevel"/>
    <w:tmpl w:val="5162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3"/>
  </w:num>
  <w:num w:numId="6">
    <w:abstractNumId w:val="14"/>
  </w:num>
  <w:num w:numId="7">
    <w:abstractNumId w:val="1"/>
  </w:num>
  <w:num w:numId="8">
    <w:abstractNumId w:val="11"/>
  </w:num>
  <w:num w:numId="9">
    <w:abstractNumId w:val="9"/>
  </w:num>
  <w:num w:numId="10">
    <w:abstractNumId w:val="17"/>
  </w:num>
  <w:num w:numId="11">
    <w:abstractNumId w:val="7"/>
  </w:num>
  <w:num w:numId="12">
    <w:abstractNumId w:val="0"/>
  </w:num>
  <w:num w:numId="13">
    <w:abstractNumId w:val="19"/>
  </w:num>
  <w:num w:numId="14">
    <w:abstractNumId w:val="3"/>
  </w:num>
  <w:num w:numId="1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2"/>
  </w:num>
  <w:num w:numId="19">
    <w:abstractNumId w:val="15"/>
  </w:num>
  <w:num w:numId="20">
    <w:abstractNumId w:val="10"/>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stoura Salami">
    <w15:presenceInfo w15:providerId="None" w15:userId="Mistoura Salam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555F0E"/>
    <w:rsid w:val="00013F0C"/>
    <w:rsid w:val="00021C15"/>
    <w:rsid w:val="0003215B"/>
    <w:rsid w:val="00046801"/>
    <w:rsid w:val="0008075F"/>
    <w:rsid w:val="00097A33"/>
    <w:rsid w:val="000B0015"/>
    <w:rsid w:val="000B6513"/>
    <w:rsid w:val="000C0C9A"/>
    <w:rsid w:val="000C6A12"/>
    <w:rsid w:val="000F7378"/>
    <w:rsid w:val="00101898"/>
    <w:rsid w:val="0012284D"/>
    <w:rsid w:val="00124568"/>
    <w:rsid w:val="001614D3"/>
    <w:rsid w:val="00164454"/>
    <w:rsid w:val="001934D8"/>
    <w:rsid w:val="00193EAF"/>
    <w:rsid w:val="001A52CC"/>
    <w:rsid w:val="001C5F67"/>
    <w:rsid w:val="001D3712"/>
    <w:rsid w:val="00225DA7"/>
    <w:rsid w:val="002808CD"/>
    <w:rsid w:val="002C05CA"/>
    <w:rsid w:val="002C59EC"/>
    <w:rsid w:val="002D6898"/>
    <w:rsid w:val="002F0EC5"/>
    <w:rsid w:val="00306DFA"/>
    <w:rsid w:val="00311325"/>
    <w:rsid w:val="00324619"/>
    <w:rsid w:val="00343010"/>
    <w:rsid w:val="003523A7"/>
    <w:rsid w:val="00382CCB"/>
    <w:rsid w:val="003B2F85"/>
    <w:rsid w:val="003B517E"/>
    <w:rsid w:val="003C42F9"/>
    <w:rsid w:val="003C6B7D"/>
    <w:rsid w:val="003F37F5"/>
    <w:rsid w:val="0040200F"/>
    <w:rsid w:val="00407195"/>
    <w:rsid w:val="00426371"/>
    <w:rsid w:val="00431189"/>
    <w:rsid w:val="00442A0D"/>
    <w:rsid w:val="00466006"/>
    <w:rsid w:val="00467908"/>
    <w:rsid w:val="0047075B"/>
    <w:rsid w:val="00486776"/>
    <w:rsid w:val="004B61F1"/>
    <w:rsid w:val="004C0081"/>
    <w:rsid w:val="004F4AC2"/>
    <w:rsid w:val="00542697"/>
    <w:rsid w:val="0054276B"/>
    <w:rsid w:val="005460C0"/>
    <w:rsid w:val="00555F0E"/>
    <w:rsid w:val="00562CE5"/>
    <w:rsid w:val="00593551"/>
    <w:rsid w:val="005A3BBC"/>
    <w:rsid w:val="005C26B8"/>
    <w:rsid w:val="005D4525"/>
    <w:rsid w:val="00641981"/>
    <w:rsid w:val="006662DD"/>
    <w:rsid w:val="006917E8"/>
    <w:rsid w:val="006A2555"/>
    <w:rsid w:val="006A6F1F"/>
    <w:rsid w:val="006C2D1A"/>
    <w:rsid w:val="006E78EB"/>
    <w:rsid w:val="006F204E"/>
    <w:rsid w:val="00722859"/>
    <w:rsid w:val="00725DC5"/>
    <w:rsid w:val="00742DC2"/>
    <w:rsid w:val="00746F2A"/>
    <w:rsid w:val="007470B4"/>
    <w:rsid w:val="00755030"/>
    <w:rsid w:val="00792B48"/>
    <w:rsid w:val="00797371"/>
    <w:rsid w:val="007A1F5C"/>
    <w:rsid w:val="007B398E"/>
    <w:rsid w:val="007D0E0F"/>
    <w:rsid w:val="007D1E78"/>
    <w:rsid w:val="007D25ED"/>
    <w:rsid w:val="007E1D40"/>
    <w:rsid w:val="007F49C9"/>
    <w:rsid w:val="008635B2"/>
    <w:rsid w:val="0089613C"/>
    <w:rsid w:val="008B5437"/>
    <w:rsid w:val="00901715"/>
    <w:rsid w:val="00915353"/>
    <w:rsid w:val="00946815"/>
    <w:rsid w:val="00955160"/>
    <w:rsid w:val="00961E1D"/>
    <w:rsid w:val="00971870"/>
    <w:rsid w:val="00A02E9C"/>
    <w:rsid w:val="00A36036"/>
    <w:rsid w:val="00A43D6B"/>
    <w:rsid w:val="00A641E1"/>
    <w:rsid w:val="00A66ACF"/>
    <w:rsid w:val="00A92BED"/>
    <w:rsid w:val="00A972BC"/>
    <w:rsid w:val="00AC4930"/>
    <w:rsid w:val="00AE56CA"/>
    <w:rsid w:val="00B03348"/>
    <w:rsid w:val="00B036F3"/>
    <w:rsid w:val="00B22AC5"/>
    <w:rsid w:val="00B77815"/>
    <w:rsid w:val="00B8696D"/>
    <w:rsid w:val="00B93145"/>
    <w:rsid w:val="00B978C2"/>
    <w:rsid w:val="00BB619E"/>
    <w:rsid w:val="00C011B2"/>
    <w:rsid w:val="00C562CB"/>
    <w:rsid w:val="00CA618C"/>
    <w:rsid w:val="00CB1047"/>
    <w:rsid w:val="00CC7B39"/>
    <w:rsid w:val="00CE3E28"/>
    <w:rsid w:val="00CE6330"/>
    <w:rsid w:val="00CE669C"/>
    <w:rsid w:val="00CE6F28"/>
    <w:rsid w:val="00CF4A70"/>
    <w:rsid w:val="00D16208"/>
    <w:rsid w:val="00D41FE9"/>
    <w:rsid w:val="00D8710C"/>
    <w:rsid w:val="00D946A3"/>
    <w:rsid w:val="00D97672"/>
    <w:rsid w:val="00DD4AC7"/>
    <w:rsid w:val="00DE57BB"/>
    <w:rsid w:val="00DE617E"/>
    <w:rsid w:val="00DF6866"/>
    <w:rsid w:val="00E527BA"/>
    <w:rsid w:val="00E624EE"/>
    <w:rsid w:val="00E90E88"/>
    <w:rsid w:val="00EA0780"/>
    <w:rsid w:val="00EA66C9"/>
    <w:rsid w:val="00EC19FE"/>
    <w:rsid w:val="00ED7EE6"/>
    <w:rsid w:val="00EE1116"/>
    <w:rsid w:val="00EF0793"/>
    <w:rsid w:val="00EF40E8"/>
    <w:rsid w:val="00F01BD9"/>
    <w:rsid w:val="00F60113"/>
    <w:rsid w:val="00F61E8C"/>
    <w:rsid w:val="00F63EF5"/>
    <w:rsid w:val="00F65DD3"/>
    <w:rsid w:val="00F771E2"/>
    <w:rsid w:val="00F9525D"/>
    <w:rsid w:val="00FA0AA2"/>
    <w:rsid w:val="00FA5A5E"/>
    <w:rsid w:val="00FB4075"/>
    <w:rsid w:val="00FC530B"/>
    <w:rsid w:val="00FD3C65"/>
    <w:rsid w:val="00FD4EF4"/>
    <w:rsid w:val="00FD6871"/>
    <w:rsid w:val="00FE2B1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0E"/>
    <w:pPr>
      <w:spacing w:after="0" w:line="240" w:lineRule="auto"/>
    </w:pPr>
    <w:rPr>
      <w:rFonts w:ascii="Times New Roman" w:eastAsia="Times New Roman" w:hAnsi="Times New Roman" w:cs="Times New Roman"/>
      <w:sz w:val="24"/>
      <w:szCs w:val="20"/>
      <w:lang w:val="fr-FR"/>
    </w:rPr>
  </w:style>
  <w:style w:type="paragraph" w:styleId="Titre1">
    <w:name w:val="heading 1"/>
    <w:basedOn w:val="Normal"/>
    <w:next w:val="Normal"/>
    <w:link w:val="Titre1Car"/>
    <w:uiPriority w:val="9"/>
    <w:qFormat/>
    <w:rsid w:val="003246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246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2461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555F0E"/>
    <w:pPr>
      <w:suppressAutoHyphens/>
      <w:spacing w:after="120"/>
      <w:jc w:val="both"/>
    </w:pPr>
  </w:style>
  <w:style w:type="character" w:customStyle="1" w:styleId="CorpsdetexteCar">
    <w:name w:val="Corps de texte Car"/>
    <w:basedOn w:val="Policepardfaut"/>
    <w:link w:val="Corpsdetexte"/>
    <w:uiPriority w:val="99"/>
    <w:rsid w:val="00555F0E"/>
    <w:rPr>
      <w:rFonts w:ascii="Times New Roman" w:eastAsia="Times New Roman" w:hAnsi="Times New Roman" w:cs="Times New Roman"/>
      <w:sz w:val="24"/>
      <w:szCs w:val="20"/>
      <w:lang w:val="fr-FR"/>
    </w:rPr>
  </w:style>
  <w:style w:type="paragraph" w:styleId="Paragraphedeliste">
    <w:name w:val="List Paragraph"/>
    <w:aliases w:val="Citation List,본문(내용),List Paragraph (numbered (a)),Colorful List - Accent 11,Bullets,Liste 1,List Paragraph1,Titre 10,Yalgo corps,Paragraphe de liste11,Paragraphe  revu,List Paragraph nowy,Numbered List Paragraph,List Bullet Mary,Ha"/>
    <w:basedOn w:val="Normal"/>
    <w:link w:val="ParagraphedelisteCar"/>
    <w:uiPriority w:val="34"/>
    <w:qFormat/>
    <w:rsid w:val="00555F0E"/>
    <w:pPr>
      <w:ind w:left="720"/>
      <w:contextualSpacing/>
    </w:pPr>
    <w:rPr>
      <w:lang w:eastAsia="zh-CN"/>
    </w:rPr>
  </w:style>
  <w:style w:type="character" w:customStyle="1" w:styleId="ParagraphedelisteCar">
    <w:name w:val="Paragraphe de liste Car"/>
    <w:aliases w:val="Citation List Car,본문(내용) Car,List Paragraph (numbered (a)) Car,Colorful List - Accent 11 Car,Bullets Car,Liste 1 Car,List Paragraph1 Car,Titre 10 Car,Yalgo corps Car,Paragraphe de liste11 Car,Paragraphe  revu Car,Ha Car"/>
    <w:link w:val="Paragraphedeliste"/>
    <w:uiPriority w:val="34"/>
    <w:qFormat/>
    <w:locked/>
    <w:rsid w:val="00555F0E"/>
    <w:rPr>
      <w:rFonts w:ascii="Times New Roman" w:eastAsia="Times New Roman" w:hAnsi="Times New Roman" w:cs="Times New Roman"/>
      <w:sz w:val="24"/>
      <w:szCs w:val="20"/>
      <w:lang w:val="fr-FR" w:eastAsia="zh-CN"/>
    </w:rPr>
  </w:style>
  <w:style w:type="paragraph" w:customStyle="1" w:styleId="Default">
    <w:name w:val="Default"/>
    <w:rsid w:val="00555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Lienhypertexte">
    <w:name w:val="Hyperlink"/>
    <w:basedOn w:val="Policepardfaut"/>
    <w:uiPriority w:val="99"/>
    <w:unhideWhenUsed/>
    <w:rsid w:val="00CE6330"/>
    <w:rPr>
      <w:color w:val="0563C1" w:themeColor="hyperlink"/>
      <w:u w:val="single"/>
    </w:rPr>
  </w:style>
  <w:style w:type="character" w:customStyle="1" w:styleId="Mentionnonrsolue1">
    <w:name w:val="Mention non résolue1"/>
    <w:basedOn w:val="Policepardfaut"/>
    <w:uiPriority w:val="99"/>
    <w:semiHidden/>
    <w:unhideWhenUsed/>
    <w:rsid w:val="00CE6330"/>
    <w:rPr>
      <w:color w:val="605E5C"/>
      <w:shd w:val="clear" w:color="auto" w:fill="E1DFDD"/>
    </w:rPr>
  </w:style>
  <w:style w:type="character" w:styleId="Lienhypertextesuivivisit">
    <w:name w:val="FollowedHyperlink"/>
    <w:basedOn w:val="Policepardfaut"/>
    <w:uiPriority w:val="99"/>
    <w:semiHidden/>
    <w:unhideWhenUsed/>
    <w:rsid w:val="00CE6330"/>
    <w:rPr>
      <w:color w:val="954F72" w:themeColor="followedHyperlink"/>
      <w:u w:val="single"/>
    </w:rPr>
  </w:style>
  <w:style w:type="character" w:styleId="MachinecrireHTML">
    <w:name w:val="HTML Typewriter"/>
    <w:rsid w:val="00CA618C"/>
    <w:rPr>
      <w:rFonts w:ascii="Courier New" w:hAnsi="Courier New" w:cs="Courier New"/>
      <w:sz w:val="20"/>
      <w:szCs w:val="20"/>
    </w:rPr>
  </w:style>
  <w:style w:type="character" w:customStyle="1" w:styleId="Titre1Car">
    <w:name w:val="Titre 1 Car"/>
    <w:basedOn w:val="Policepardfaut"/>
    <w:link w:val="Titre1"/>
    <w:uiPriority w:val="9"/>
    <w:rsid w:val="00324619"/>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rsid w:val="00324619"/>
    <w:rPr>
      <w:rFonts w:asciiTheme="majorHAnsi" w:eastAsiaTheme="majorEastAsia" w:hAnsiTheme="majorHAnsi" w:cstheme="majorBidi"/>
      <w:color w:val="2F5496" w:themeColor="accent1" w:themeShade="BF"/>
      <w:sz w:val="26"/>
      <w:szCs w:val="26"/>
      <w:lang w:val="fr-FR"/>
    </w:rPr>
  </w:style>
  <w:style w:type="character" w:customStyle="1" w:styleId="Titre3Car">
    <w:name w:val="Titre 3 Car"/>
    <w:basedOn w:val="Policepardfaut"/>
    <w:link w:val="Titre3"/>
    <w:uiPriority w:val="9"/>
    <w:rsid w:val="00324619"/>
    <w:rPr>
      <w:rFonts w:asciiTheme="majorHAnsi" w:eastAsiaTheme="majorEastAsia" w:hAnsiTheme="majorHAnsi" w:cstheme="majorBidi"/>
      <w:color w:val="1F3763" w:themeColor="accent1" w:themeShade="7F"/>
      <w:sz w:val="24"/>
      <w:szCs w:val="24"/>
      <w:lang w:val="fr-FR"/>
    </w:rPr>
  </w:style>
  <w:style w:type="paragraph" w:styleId="Sansinterligne">
    <w:name w:val="No Spacing"/>
    <w:uiPriority w:val="1"/>
    <w:qFormat/>
    <w:rsid w:val="00124568"/>
    <w:pPr>
      <w:spacing w:after="0" w:line="240" w:lineRule="auto"/>
    </w:pPr>
    <w:rPr>
      <w:lang w:val="fr-CA"/>
    </w:rPr>
  </w:style>
  <w:style w:type="character" w:styleId="lev">
    <w:name w:val="Strong"/>
    <w:basedOn w:val="Policepardfaut"/>
    <w:uiPriority w:val="22"/>
    <w:qFormat/>
    <w:rsid w:val="00124568"/>
    <w:rPr>
      <w:b/>
      <w:bCs/>
    </w:rPr>
  </w:style>
  <w:style w:type="paragraph" w:styleId="Notedebasdepage">
    <w:name w:val="footnote text"/>
    <w:basedOn w:val="Normal"/>
    <w:link w:val="NotedebasdepageCar"/>
    <w:uiPriority w:val="99"/>
    <w:semiHidden/>
    <w:unhideWhenUsed/>
    <w:rsid w:val="003B517E"/>
    <w:rPr>
      <w:sz w:val="20"/>
    </w:rPr>
  </w:style>
  <w:style w:type="character" w:customStyle="1" w:styleId="NotedebasdepageCar">
    <w:name w:val="Note de bas de page Car"/>
    <w:basedOn w:val="Policepardfaut"/>
    <w:link w:val="Notedebasdepage"/>
    <w:uiPriority w:val="99"/>
    <w:semiHidden/>
    <w:rsid w:val="003B517E"/>
    <w:rPr>
      <w:rFonts w:ascii="Times New Roman" w:eastAsia="Times New Roman" w:hAnsi="Times New Roman" w:cs="Times New Roman"/>
      <w:sz w:val="20"/>
      <w:szCs w:val="20"/>
      <w:lang w:val="fr-FR"/>
    </w:rPr>
  </w:style>
  <w:style w:type="character" w:styleId="Appelnotedebasdep">
    <w:name w:val="footnote reference"/>
    <w:basedOn w:val="Policepardfaut"/>
    <w:uiPriority w:val="99"/>
    <w:semiHidden/>
    <w:unhideWhenUsed/>
    <w:rsid w:val="003B517E"/>
    <w:rPr>
      <w:vertAlign w:val="superscript"/>
    </w:rPr>
  </w:style>
  <w:style w:type="paragraph" w:styleId="Textedebulles">
    <w:name w:val="Balloon Text"/>
    <w:basedOn w:val="Normal"/>
    <w:link w:val="TextedebullesCar"/>
    <w:uiPriority w:val="99"/>
    <w:semiHidden/>
    <w:unhideWhenUsed/>
    <w:rsid w:val="000C0C9A"/>
    <w:rPr>
      <w:rFonts w:ascii="Tahoma" w:hAnsi="Tahoma" w:cs="Tahoma"/>
      <w:sz w:val="16"/>
      <w:szCs w:val="16"/>
    </w:rPr>
  </w:style>
  <w:style w:type="character" w:customStyle="1" w:styleId="TextedebullesCar">
    <w:name w:val="Texte de bulles Car"/>
    <w:basedOn w:val="Policepardfaut"/>
    <w:link w:val="Textedebulles"/>
    <w:uiPriority w:val="99"/>
    <w:semiHidden/>
    <w:rsid w:val="000C0C9A"/>
    <w:rPr>
      <w:rFonts w:ascii="Tahoma" w:eastAsia="Times New Roman" w:hAnsi="Tahoma" w:cs="Tahoma"/>
      <w:sz w:val="16"/>
      <w:szCs w:val="16"/>
      <w:lang w:val="fr-FR"/>
    </w:rPr>
  </w:style>
  <w:style w:type="character" w:styleId="Marquedecommentaire">
    <w:name w:val="annotation reference"/>
    <w:basedOn w:val="Policepardfaut"/>
    <w:uiPriority w:val="99"/>
    <w:semiHidden/>
    <w:unhideWhenUsed/>
    <w:rsid w:val="00B978C2"/>
    <w:rPr>
      <w:sz w:val="16"/>
      <w:szCs w:val="16"/>
    </w:rPr>
  </w:style>
  <w:style w:type="paragraph" w:styleId="Commentaire">
    <w:name w:val="annotation text"/>
    <w:basedOn w:val="Normal"/>
    <w:link w:val="CommentaireCar"/>
    <w:uiPriority w:val="99"/>
    <w:semiHidden/>
    <w:unhideWhenUsed/>
    <w:rsid w:val="00B978C2"/>
    <w:rPr>
      <w:sz w:val="20"/>
    </w:rPr>
  </w:style>
  <w:style w:type="character" w:customStyle="1" w:styleId="CommentaireCar">
    <w:name w:val="Commentaire Car"/>
    <w:basedOn w:val="Policepardfaut"/>
    <w:link w:val="Commentaire"/>
    <w:uiPriority w:val="99"/>
    <w:semiHidden/>
    <w:rsid w:val="00B978C2"/>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B978C2"/>
    <w:rPr>
      <w:b/>
      <w:bCs/>
    </w:rPr>
  </w:style>
  <w:style w:type="character" w:customStyle="1" w:styleId="ObjetducommentaireCar">
    <w:name w:val="Objet du commentaire Car"/>
    <w:basedOn w:val="CommentaireCar"/>
    <w:link w:val="Objetducommentaire"/>
    <w:uiPriority w:val="99"/>
    <w:semiHidden/>
    <w:rsid w:val="00B978C2"/>
    <w:rPr>
      <w:rFonts w:ascii="Times New Roman" w:eastAsia="Times New Roman" w:hAnsi="Times New Roman" w:cs="Times New Roman"/>
      <w:b/>
      <w:bCs/>
      <w:sz w:val="20"/>
      <w:szCs w:val="20"/>
      <w:lang w:val="fr-FR"/>
    </w:rPr>
  </w:style>
  <w:style w:type="character" w:customStyle="1" w:styleId="UnresolvedMention">
    <w:name w:val="Unresolved Mention"/>
    <w:basedOn w:val="Policepardfaut"/>
    <w:uiPriority w:val="99"/>
    <w:unhideWhenUsed/>
    <w:rsid w:val="00426371"/>
    <w:rPr>
      <w:color w:val="605E5C"/>
      <w:shd w:val="clear" w:color="auto" w:fill="E1DFDD"/>
    </w:rPr>
  </w:style>
  <w:style w:type="paragraph" w:styleId="Corpsdetexte2">
    <w:name w:val="Body Text 2"/>
    <w:basedOn w:val="Normal"/>
    <w:link w:val="Corpsdetexte2Car"/>
    <w:uiPriority w:val="99"/>
    <w:semiHidden/>
    <w:unhideWhenUsed/>
    <w:rsid w:val="00343010"/>
    <w:pPr>
      <w:spacing w:after="120" w:line="480" w:lineRule="auto"/>
    </w:pPr>
  </w:style>
  <w:style w:type="character" w:customStyle="1" w:styleId="Corpsdetexte2Car">
    <w:name w:val="Corps de texte 2 Car"/>
    <w:basedOn w:val="Policepardfaut"/>
    <w:link w:val="Corpsdetexte2"/>
    <w:uiPriority w:val="99"/>
    <w:semiHidden/>
    <w:rsid w:val="00343010"/>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0E"/>
    <w:pPr>
      <w:spacing w:after="0" w:line="240" w:lineRule="auto"/>
    </w:pPr>
    <w:rPr>
      <w:rFonts w:ascii="Times New Roman" w:eastAsia="Times New Roman" w:hAnsi="Times New Roman" w:cs="Times New Roman"/>
      <w:sz w:val="24"/>
      <w:szCs w:val="20"/>
      <w:lang w:val="fr-FR"/>
    </w:rPr>
  </w:style>
  <w:style w:type="paragraph" w:styleId="Titre1">
    <w:name w:val="heading 1"/>
    <w:basedOn w:val="Normal"/>
    <w:next w:val="Normal"/>
    <w:link w:val="Titre1Car"/>
    <w:uiPriority w:val="9"/>
    <w:qFormat/>
    <w:rsid w:val="003246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246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2461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555F0E"/>
    <w:pPr>
      <w:suppressAutoHyphens/>
      <w:spacing w:after="120"/>
      <w:jc w:val="both"/>
    </w:pPr>
  </w:style>
  <w:style w:type="character" w:customStyle="1" w:styleId="CorpsdetexteCar">
    <w:name w:val="Corps de texte Car"/>
    <w:basedOn w:val="Policepardfaut"/>
    <w:link w:val="Corpsdetexte"/>
    <w:uiPriority w:val="99"/>
    <w:rsid w:val="00555F0E"/>
    <w:rPr>
      <w:rFonts w:ascii="Times New Roman" w:eastAsia="Times New Roman" w:hAnsi="Times New Roman" w:cs="Times New Roman"/>
      <w:sz w:val="24"/>
      <w:szCs w:val="20"/>
      <w:lang w:val="fr-FR"/>
    </w:rPr>
  </w:style>
  <w:style w:type="paragraph" w:styleId="Paragraphedeliste">
    <w:name w:val="List Paragraph"/>
    <w:aliases w:val="Citation List,본문(내용),List Paragraph (numbered (a)),Colorful List - Accent 11,Bullets,Liste 1,List Paragraph1,Titre 10,Yalgo corps,Paragraphe de liste11,Paragraphe  revu,List Paragraph nowy,Numbered List Paragraph,List Bullet Mary,Ha"/>
    <w:basedOn w:val="Normal"/>
    <w:link w:val="ParagraphedelisteCar"/>
    <w:uiPriority w:val="34"/>
    <w:qFormat/>
    <w:rsid w:val="00555F0E"/>
    <w:pPr>
      <w:ind w:left="720"/>
      <w:contextualSpacing/>
    </w:pPr>
    <w:rPr>
      <w:lang w:eastAsia="zh-CN"/>
    </w:rPr>
  </w:style>
  <w:style w:type="character" w:customStyle="1" w:styleId="ParagraphedelisteCar">
    <w:name w:val="Paragraphe de liste Car"/>
    <w:aliases w:val="Citation List Car,본문(내용) Car,List Paragraph (numbered (a)) Car,Colorful List - Accent 11 Car,Bullets Car,Liste 1 Car,List Paragraph1 Car,Titre 10 Car,Yalgo corps Car,Paragraphe de liste11 Car,Paragraphe  revu Car"/>
    <w:link w:val="Paragraphedeliste"/>
    <w:uiPriority w:val="34"/>
    <w:qFormat/>
    <w:locked/>
    <w:rsid w:val="00555F0E"/>
    <w:rPr>
      <w:rFonts w:ascii="Times New Roman" w:eastAsia="Times New Roman" w:hAnsi="Times New Roman" w:cs="Times New Roman"/>
      <w:sz w:val="24"/>
      <w:szCs w:val="20"/>
      <w:lang w:val="fr-FR" w:eastAsia="zh-CN"/>
    </w:rPr>
  </w:style>
  <w:style w:type="paragraph" w:customStyle="1" w:styleId="Default">
    <w:name w:val="Default"/>
    <w:rsid w:val="00555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Lienhypertexte">
    <w:name w:val="Hyperlink"/>
    <w:basedOn w:val="Policepardfaut"/>
    <w:uiPriority w:val="99"/>
    <w:unhideWhenUsed/>
    <w:rsid w:val="00CE6330"/>
    <w:rPr>
      <w:color w:val="0563C1" w:themeColor="hyperlink"/>
      <w:u w:val="single"/>
    </w:rPr>
  </w:style>
  <w:style w:type="character" w:customStyle="1" w:styleId="Mentionnonrsolue1">
    <w:name w:val="Mention non résolue1"/>
    <w:basedOn w:val="Policepardfaut"/>
    <w:uiPriority w:val="99"/>
    <w:semiHidden/>
    <w:unhideWhenUsed/>
    <w:rsid w:val="00CE6330"/>
    <w:rPr>
      <w:color w:val="605E5C"/>
      <w:shd w:val="clear" w:color="auto" w:fill="E1DFDD"/>
    </w:rPr>
  </w:style>
  <w:style w:type="character" w:styleId="Lienhypertextesuivivisit">
    <w:name w:val="FollowedHyperlink"/>
    <w:basedOn w:val="Policepardfaut"/>
    <w:uiPriority w:val="99"/>
    <w:semiHidden/>
    <w:unhideWhenUsed/>
    <w:rsid w:val="00CE6330"/>
    <w:rPr>
      <w:color w:val="954F72" w:themeColor="followedHyperlink"/>
      <w:u w:val="single"/>
    </w:rPr>
  </w:style>
  <w:style w:type="character" w:styleId="MachinecrireHTML">
    <w:name w:val="HTML Typewriter"/>
    <w:rsid w:val="00CA618C"/>
    <w:rPr>
      <w:rFonts w:ascii="Courier New" w:hAnsi="Courier New" w:cs="Courier New"/>
      <w:sz w:val="20"/>
      <w:szCs w:val="20"/>
    </w:rPr>
  </w:style>
  <w:style w:type="character" w:customStyle="1" w:styleId="Titre1Car">
    <w:name w:val="Titre 1 Car"/>
    <w:basedOn w:val="Policepardfaut"/>
    <w:link w:val="Titre1"/>
    <w:uiPriority w:val="9"/>
    <w:rsid w:val="00324619"/>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rsid w:val="00324619"/>
    <w:rPr>
      <w:rFonts w:asciiTheme="majorHAnsi" w:eastAsiaTheme="majorEastAsia" w:hAnsiTheme="majorHAnsi" w:cstheme="majorBidi"/>
      <w:color w:val="2F5496" w:themeColor="accent1" w:themeShade="BF"/>
      <w:sz w:val="26"/>
      <w:szCs w:val="26"/>
      <w:lang w:val="fr-FR"/>
    </w:rPr>
  </w:style>
  <w:style w:type="character" w:customStyle="1" w:styleId="Titre3Car">
    <w:name w:val="Titre 3 Car"/>
    <w:basedOn w:val="Policepardfaut"/>
    <w:link w:val="Titre3"/>
    <w:uiPriority w:val="9"/>
    <w:rsid w:val="00324619"/>
    <w:rPr>
      <w:rFonts w:asciiTheme="majorHAnsi" w:eastAsiaTheme="majorEastAsia" w:hAnsiTheme="majorHAnsi" w:cstheme="majorBidi"/>
      <w:color w:val="1F3763" w:themeColor="accent1" w:themeShade="7F"/>
      <w:sz w:val="24"/>
      <w:szCs w:val="24"/>
      <w:lang w:val="fr-FR"/>
    </w:rPr>
  </w:style>
  <w:style w:type="paragraph" w:styleId="Sansinterligne">
    <w:name w:val="No Spacing"/>
    <w:uiPriority w:val="1"/>
    <w:qFormat/>
    <w:rsid w:val="00124568"/>
    <w:pPr>
      <w:spacing w:after="0" w:line="240" w:lineRule="auto"/>
    </w:pPr>
    <w:rPr>
      <w:lang w:val="fr-CA"/>
    </w:rPr>
  </w:style>
  <w:style w:type="character" w:styleId="lev">
    <w:name w:val="Strong"/>
    <w:basedOn w:val="Policepardfaut"/>
    <w:uiPriority w:val="22"/>
    <w:qFormat/>
    <w:rsid w:val="00124568"/>
    <w:rPr>
      <w:b/>
      <w:bCs/>
    </w:rPr>
  </w:style>
  <w:style w:type="paragraph" w:styleId="Notedebasdepage">
    <w:name w:val="footnote text"/>
    <w:basedOn w:val="Normal"/>
    <w:link w:val="NotedebasdepageCar"/>
    <w:uiPriority w:val="99"/>
    <w:semiHidden/>
    <w:unhideWhenUsed/>
    <w:rsid w:val="003B517E"/>
    <w:rPr>
      <w:sz w:val="20"/>
    </w:rPr>
  </w:style>
  <w:style w:type="character" w:customStyle="1" w:styleId="NotedebasdepageCar">
    <w:name w:val="Note de bas de page Car"/>
    <w:basedOn w:val="Policepardfaut"/>
    <w:link w:val="Notedebasdepage"/>
    <w:uiPriority w:val="99"/>
    <w:semiHidden/>
    <w:rsid w:val="003B517E"/>
    <w:rPr>
      <w:rFonts w:ascii="Times New Roman" w:eastAsia="Times New Roman" w:hAnsi="Times New Roman" w:cs="Times New Roman"/>
      <w:sz w:val="20"/>
      <w:szCs w:val="20"/>
      <w:lang w:val="fr-FR"/>
    </w:rPr>
  </w:style>
  <w:style w:type="character" w:styleId="Appelnotedebasdep">
    <w:name w:val="footnote reference"/>
    <w:basedOn w:val="Policepardfaut"/>
    <w:uiPriority w:val="99"/>
    <w:semiHidden/>
    <w:unhideWhenUsed/>
    <w:rsid w:val="003B517E"/>
    <w:rPr>
      <w:vertAlign w:val="superscript"/>
    </w:rPr>
  </w:style>
  <w:style w:type="paragraph" w:styleId="Textedebulles">
    <w:name w:val="Balloon Text"/>
    <w:basedOn w:val="Normal"/>
    <w:link w:val="TextedebullesCar"/>
    <w:uiPriority w:val="99"/>
    <w:semiHidden/>
    <w:unhideWhenUsed/>
    <w:rsid w:val="000C0C9A"/>
    <w:rPr>
      <w:rFonts w:ascii="Tahoma" w:hAnsi="Tahoma" w:cs="Tahoma"/>
      <w:sz w:val="16"/>
      <w:szCs w:val="16"/>
    </w:rPr>
  </w:style>
  <w:style w:type="character" w:customStyle="1" w:styleId="TextedebullesCar">
    <w:name w:val="Texte de bulles Car"/>
    <w:basedOn w:val="Policepardfaut"/>
    <w:link w:val="Textedebulles"/>
    <w:uiPriority w:val="99"/>
    <w:semiHidden/>
    <w:rsid w:val="000C0C9A"/>
    <w:rPr>
      <w:rFonts w:ascii="Tahoma" w:eastAsia="Times New Roman" w:hAnsi="Tahoma" w:cs="Tahoma"/>
      <w:sz w:val="16"/>
      <w:szCs w:val="16"/>
      <w:lang w:val="fr-FR"/>
    </w:rPr>
  </w:style>
  <w:style w:type="character" w:styleId="Marquedecommentaire">
    <w:name w:val="annotation reference"/>
    <w:basedOn w:val="Policepardfaut"/>
    <w:uiPriority w:val="99"/>
    <w:semiHidden/>
    <w:unhideWhenUsed/>
    <w:rsid w:val="00B978C2"/>
    <w:rPr>
      <w:sz w:val="16"/>
      <w:szCs w:val="16"/>
    </w:rPr>
  </w:style>
  <w:style w:type="paragraph" w:styleId="Commentaire">
    <w:name w:val="annotation text"/>
    <w:basedOn w:val="Normal"/>
    <w:link w:val="CommentaireCar"/>
    <w:uiPriority w:val="99"/>
    <w:semiHidden/>
    <w:unhideWhenUsed/>
    <w:rsid w:val="00B978C2"/>
    <w:rPr>
      <w:sz w:val="20"/>
    </w:rPr>
  </w:style>
  <w:style w:type="character" w:customStyle="1" w:styleId="CommentaireCar">
    <w:name w:val="Commentaire Car"/>
    <w:basedOn w:val="Policepardfaut"/>
    <w:link w:val="Commentaire"/>
    <w:uiPriority w:val="99"/>
    <w:semiHidden/>
    <w:rsid w:val="00B978C2"/>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B978C2"/>
    <w:rPr>
      <w:b/>
      <w:bCs/>
    </w:rPr>
  </w:style>
  <w:style w:type="character" w:customStyle="1" w:styleId="ObjetducommentaireCar">
    <w:name w:val="Objet du commentaire Car"/>
    <w:basedOn w:val="CommentaireCar"/>
    <w:link w:val="Objetducommentaire"/>
    <w:uiPriority w:val="99"/>
    <w:semiHidden/>
    <w:rsid w:val="00B978C2"/>
    <w:rPr>
      <w:rFonts w:ascii="Times New Roman" w:eastAsia="Times New Roman" w:hAnsi="Times New Roman" w:cs="Times New Roman"/>
      <w:b/>
      <w:bCs/>
      <w:sz w:val="20"/>
      <w:szCs w:val="20"/>
      <w:lang w:val="fr-FR"/>
    </w:rPr>
  </w:style>
  <w:style w:type="character" w:customStyle="1" w:styleId="UnresolvedMention">
    <w:name w:val="Unresolved Mention"/>
    <w:basedOn w:val="Policepardfaut"/>
    <w:uiPriority w:val="99"/>
    <w:unhideWhenUsed/>
    <w:rsid w:val="0042637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2816618">
      <w:bodyDiv w:val="1"/>
      <w:marLeft w:val="0"/>
      <w:marRight w:val="0"/>
      <w:marTop w:val="0"/>
      <w:marBottom w:val="0"/>
      <w:divBdr>
        <w:top w:val="none" w:sz="0" w:space="0" w:color="auto"/>
        <w:left w:val="none" w:sz="0" w:space="0" w:color="auto"/>
        <w:bottom w:val="none" w:sz="0" w:space="0" w:color="auto"/>
        <w:right w:val="none" w:sz="0" w:space="0" w:color="auto"/>
      </w:divBdr>
    </w:div>
    <w:div w:id="1309088211">
      <w:bodyDiv w:val="1"/>
      <w:marLeft w:val="0"/>
      <w:marRight w:val="0"/>
      <w:marTop w:val="0"/>
      <w:marBottom w:val="0"/>
      <w:divBdr>
        <w:top w:val="none" w:sz="0" w:space="0" w:color="auto"/>
        <w:left w:val="none" w:sz="0" w:space="0" w:color="auto"/>
        <w:bottom w:val="none" w:sz="0" w:space="0" w:color="auto"/>
        <w:right w:val="none" w:sz="0" w:space="0" w:color="auto"/>
      </w:divBdr>
    </w:div>
    <w:div w:id="1390038276">
      <w:bodyDiv w:val="1"/>
      <w:marLeft w:val="0"/>
      <w:marRight w:val="0"/>
      <w:marTop w:val="0"/>
      <w:marBottom w:val="0"/>
      <w:divBdr>
        <w:top w:val="none" w:sz="0" w:space="0" w:color="auto"/>
        <w:left w:val="none" w:sz="0" w:space="0" w:color="auto"/>
        <w:bottom w:val="none" w:sz="0" w:space="0" w:color="auto"/>
        <w:right w:val="none" w:sz="0" w:space="0" w:color="auto"/>
      </w:divBdr>
      <w:divsChild>
        <w:div w:id="659043904">
          <w:marLeft w:val="0"/>
          <w:marRight w:val="0"/>
          <w:marTop w:val="0"/>
          <w:marBottom w:val="0"/>
          <w:divBdr>
            <w:top w:val="none" w:sz="0" w:space="0" w:color="auto"/>
            <w:left w:val="none" w:sz="0" w:space="0" w:color="auto"/>
            <w:bottom w:val="none" w:sz="0" w:space="0" w:color="auto"/>
            <w:right w:val="none" w:sz="0" w:space="0" w:color="auto"/>
          </w:divBdr>
          <w:divsChild>
            <w:div w:id="413939376">
              <w:marLeft w:val="0"/>
              <w:marRight w:val="0"/>
              <w:marTop w:val="0"/>
              <w:marBottom w:val="0"/>
              <w:divBdr>
                <w:top w:val="none" w:sz="0" w:space="0" w:color="auto"/>
                <w:left w:val="none" w:sz="0" w:space="0" w:color="auto"/>
                <w:bottom w:val="none" w:sz="0" w:space="0" w:color="auto"/>
                <w:right w:val="none" w:sz="0" w:space="0" w:color="auto"/>
              </w:divBdr>
              <w:divsChild>
                <w:div w:id="1895241320">
                  <w:marLeft w:val="0"/>
                  <w:marRight w:val="0"/>
                  <w:marTop w:val="0"/>
                  <w:marBottom w:val="0"/>
                  <w:divBdr>
                    <w:top w:val="none" w:sz="0" w:space="0" w:color="auto"/>
                    <w:left w:val="none" w:sz="0" w:space="0" w:color="auto"/>
                    <w:bottom w:val="none" w:sz="0" w:space="0" w:color="auto"/>
                    <w:right w:val="none" w:sz="0" w:space="0" w:color="auto"/>
                  </w:divBdr>
                  <w:divsChild>
                    <w:div w:id="687944654">
                      <w:marLeft w:val="0"/>
                      <w:marRight w:val="0"/>
                      <w:marTop w:val="0"/>
                      <w:marBottom w:val="0"/>
                      <w:divBdr>
                        <w:top w:val="none" w:sz="0" w:space="0" w:color="auto"/>
                        <w:left w:val="none" w:sz="0" w:space="0" w:color="auto"/>
                        <w:bottom w:val="none" w:sz="0" w:space="0" w:color="auto"/>
                        <w:right w:val="none" w:sz="0" w:space="0" w:color="auto"/>
                      </w:divBdr>
                      <w:divsChild>
                        <w:div w:id="1519393678">
                          <w:marLeft w:val="0"/>
                          <w:marRight w:val="0"/>
                          <w:marTop w:val="0"/>
                          <w:marBottom w:val="0"/>
                          <w:divBdr>
                            <w:top w:val="none" w:sz="0" w:space="0" w:color="auto"/>
                            <w:left w:val="none" w:sz="0" w:space="0" w:color="auto"/>
                            <w:bottom w:val="none" w:sz="0" w:space="0" w:color="auto"/>
                            <w:right w:val="none" w:sz="0" w:space="0" w:color="auto"/>
                          </w:divBdr>
                          <w:divsChild>
                            <w:div w:id="391739479">
                              <w:marLeft w:val="0"/>
                              <w:marRight w:val="300"/>
                              <w:marTop w:val="180"/>
                              <w:marBottom w:val="0"/>
                              <w:divBdr>
                                <w:top w:val="none" w:sz="0" w:space="0" w:color="auto"/>
                                <w:left w:val="none" w:sz="0" w:space="0" w:color="auto"/>
                                <w:bottom w:val="none" w:sz="0" w:space="0" w:color="auto"/>
                                <w:right w:val="none" w:sz="0" w:space="0" w:color="auto"/>
                              </w:divBdr>
                              <w:divsChild>
                                <w:div w:id="13381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168991">
          <w:marLeft w:val="0"/>
          <w:marRight w:val="0"/>
          <w:marTop w:val="0"/>
          <w:marBottom w:val="0"/>
          <w:divBdr>
            <w:top w:val="none" w:sz="0" w:space="0" w:color="auto"/>
            <w:left w:val="none" w:sz="0" w:space="0" w:color="auto"/>
            <w:bottom w:val="none" w:sz="0" w:space="0" w:color="auto"/>
            <w:right w:val="none" w:sz="0" w:space="0" w:color="auto"/>
          </w:divBdr>
          <w:divsChild>
            <w:div w:id="32048721">
              <w:marLeft w:val="0"/>
              <w:marRight w:val="0"/>
              <w:marTop w:val="0"/>
              <w:marBottom w:val="0"/>
              <w:divBdr>
                <w:top w:val="none" w:sz="0" w:space="0" w:color="auto"/>
                <w:left w:val="none" w:sz="0" w:space="0" w:color="auto"/>
                <w:bottom w:val="none" w:sz="0" w:space="0" w:color="auto"/>
                <w:right w:val="none" w:sz="0" w:space="0" w:color="auto"/>
              </w:divBdr>
              <w:divsChild>
                <w:div w:id="635061700">
                  <w:marLeft w:val="0"/>
                  <w:marRight w:val="0"/>
                  <w:marTop w:val="0"/>
                  <w:marBottom w:val="0"/>
                  <w:divBdr>
                    <w:top w:val="none" w:sz="0" w:space="0" w:color="auto"/>
                    <w:left w:val="none" w:sz="0" w:space="0" w:color="auto"/>
                    <w:bottom w:val="none" w:sz="0" w:space="0" w:color="auto"/>
                    <w:right w:val="none" w:sz="0" w:space="0" w:color="auto"/>
                  </w:divBdr>
                  <w:divsChild>
                    <w:div w:id="2048721167">
                      <w:marLeft w:val="0"/>
                      <w:marRight w:val="0"/>
                      <w:marTop w:val="0"/>
                      <w:marBottom w:val="0"/>
                      <w:divBdr>
                        <w:top w:val="none" w:sz="0" w:space="0" w:color="auto"/>
                        <w:left w:val="none" w:sz="0" w:space="0" w:color="auto"/>
                        <w:bottom w:val="none" w:sz="0" w:space="0" w:color="auto"/>
                        <w:right w:val="none" w:sz="0" w:space="0" w:color="auto"/>
                      </w:divBdr>
                      <w:divsChild>
                        <w:div w:id="11762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iaasb.org/" TargetMode="Externa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13A77-9E3D-443A-8B27-7C64A1CB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40BF9-2ECB-4937-9730-9F71326849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F9F00-DA3E-4179-88C5-310CAB419873}">
  <ds:schemaRefs>
    <ds:schemaRef ds:uri="http://schemas.microsoft.com/sharepoint/v3/contenttype/forms"/>
  </ds:schemaRefs>
</ds:datastoreItem>
</file>

<file path=customXml/itemProps4.xml><?xml version="1.0" encoding="utf-8"?>
<ds:datastoreItem xmlns:ds="http://schemas.openxmlformats.org/officeDocument/2006/customXml" ds:itemID="{9998C85B-9A28-4A00-8A1A-3E6678A7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3964</Words>
  <Characters>21807</Characters>
  <Application>Microsoft Office Word</Application>
  <DocSecurity>0</DocSecurity>
  <Lines>181</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 Magendo</dc:creator>
  <cp:lastModifiedBy>HP</cp:lastModifiedBy>
  <cp:revision>4</cp:revision>
  <cp:lastPrinted>2020-12-12T10:57:00Z</cp:lastPrinted>
  <dcterms:created xsi:type="dcterms:W3CDTF">2020-12-11T13:57:00Z</dcterms:created>
  <dcterms:modified xsi:type="dcterms:W3CDTF">2020-12-12T11:16:00Z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