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bottomFromText="200" w:vertAnchor="text" w:horzAnchor="margin" w:tblpXSpec="center" w:tblpY="-4093"/>
        <w:tblOverlap w:val="never"/>
        <w:tblW w:w="10490" w:type="dxa"/>
        <w:tblLook w:val="04A0"/>
      </w:tblPr>
      <w:tblGrid>
        <w:gridCol w:w="4845"/>
        <w:gridCol w:w="2952"/>
        <w:gridCol w:w="2693"/>
      </w:tblGrid>
      <w:tr w:rsidR="006E62E7" w:rsidRPr="00C35674" w:rsidTr="00162F35">
        <w:trPr>
          <w:trHeight w:val="3171"/>
        </w:trPr>
        <w:tc>
          <w:tcPr>
            <w:tcW w:w="4845" w:type="dxa"/>
          </w:tcPr>
          <w:p w:rsidR="006E62E7" w:rsidRPr="00724EC0" w:rsidRDefault="006E62E7" w:rsidP="00162F35">
            <w:pPr>
              <w:jc w:val="center"/>
              <w:rPr>
                <w:rFonts w:asciiTheme="minorHAnsi" w:hAnsiTheme="minorHAnsi" w:cstheme="minorHAnsi"/>
                <w:b/>
                <w:szCs w:val="24"/>
              </w:rPr>
            </w:pPr>
          </w:p>
          <w:p w:rsidR="006E62E7" w:rsidRPr="00724EC0" w:rsidRDefault="006E62E7" w:rsidP="00162F35">
            <w:pPr>
              <w:jc w:val="center"/>
              <w:rPr>
                <w:rFonts w:asciiTheme="minorHAnsi" w:hAnsiTheme="minorHAnsi" w:cstheme="minorHAnsi"/>
                <w:b/>
                <w:sz w:val="18"/>
              </w:rPr>
            </w:pPr>
            <w:r w:rsidRPr="00724EC0">
              <w:rPr>
                <w:rFonts w:asciiTheme="minorHAnsi" w:hAnsiTheme="minorHAnsi" w:cstheme="minorHAnsi"/>
                <w:b/>
                <w:sz w:val="18"/>
              </w:rPr>
              <w:t>République du Tchad</w:t>
            </w:r>
          </w:p>
          <w:p w:rsidR="006E62E7" w:rsidRPr="00724EC0" w:rsidRDefault="006E62E7" w:rsidP="00162F35">
            <w:pPr>
              <w:jc w:val="center"/>
              <w:rPr>
                <w:rFonts w:asciiTheme="minorHAnsi" w:hAnsiTheme="minorHAnsi" w:cstheme="minorHAnsi"/>
                <w:b/>
                <w:sz w:val="18"/>
              </w:rPr>
            </w:pPr>
            <w:r w:rsidRPr="00724EC0">
              <w:rPr>
                <w:rFonts w:asciiTheme="minorHAnsi" w:hAnsiTheme="minorHAnsi" w:cstheme="minorHAnsi"/>
                <w:b/>
                <w:bCs/>
                <w:sz w:val="18"/>
              </w:rPr>
              <w:t>**********</w:t>
            </w:r>
          </w:p>
          <w:p w:rsidR="006E62E7" w:rsidRPr="00724EC0" w:rsidRDefault="006E62E7" w:rsidP="00162F35">
            <w:pPr>
              <w:jc w:val="center"/>
              <w:rPr>
                <w:rFonts w:asciiTheme="minorHAnsi" w:hAnsiTheme="minorHAnsi" w:cstheme="minorHAnsi"/>
                <w:b/>
                <w:sz w:val="18"/>
              </w:rPr>
            </w:pPr>
            <w:r w:rsidRPr="00724EC0">
              <w:rPr>
                <w:rFonts w:asciiTheme="minorHAnsi" w:hAnsiTheme="minorHAnsi" w:cstheme="minorHAnsi"/>
                <w:b/>
                <w:sz w:val="18"/>
              </w:rPr>
              <w:t>Présidence de la République</w:t>
            </w:r>
          </w:p>
          <w:p w:rsidR="006E62E7" w:rsidRPr="00724EC0" w:rsidRDefault="006E62E7" w:rsidP="00162F35">
            <w:pPr>
              <w:jc w:val="center"/>
              <w:rPr>
                <w:rFonts w:asciiTheme="minorHAnsi" w:hAnsiTheme="minorHAnsi" w:cstheme="minorHAnsi"/>
                <w:b/>
                <w:sz w:val="18"/>
              </w:rPr>
            </w:pPr>
            <w:r w:rsidRPr="00724EC0">
              <w:rPr>
                <w:rFonts w:asciiTheme="minorHAnsi" w:hAnsiTheme="minorHAnsi" w:cstheme="minorHAnsi"/>
                <w:b/>
                <w:bCs/>
                <w:sz w:val="18"/>
              </w:rPr>
              <w:t>**********</w:t>
            </w:r>
          </w:p>
          <w:p w:rsidR="006E62E7" w:rsidRPr="00724EC0" w:rsidRDefault="006E62E7" w:rsidP="00162F35">
            <w:pPr>
              <w:jc w:val="center"/>
              <w:rPr>
                <w:rFonts w:asciiTheme="minorHAnsi" w:hAnsiTheme="minorHAnsi" w:cstheme="minorHAnsi"/>
                <w:b/>
                <w:sz w:val="18"/>
              </w:rPr>
            </w:pPr>
            <w:r w:rsidRPr="00724EC0">
              <w:rPr>
                <w:rFonts w:asciiTheme="minorHAnsi" w:hAnsiTheme="minorHAnsi" w:cstheme="minorHAnsi"/>
                <w:b/>
                <w:sz w:val="18"/>
              </w:rPr>
              <w:t>Ministère de l’Économie et de la Planification du Développement</w:t>
            </w:r>
          </w:p>
          <w:p w:rsidR="006E62E7" w:rsidRPr="00724EC0" w:rsidRDefault="006E62E7" w:rsidP="00162F35">
            <w:pPr>
              <w:jc w:val="center"/>
              <w:rPr>
                <w:rFonts w:asciiTheme="minorHAnsi" w:hAnsiTheme="minorHAnsi" w:cstheme="minorHAnsi"/>
                <w:b/>
                <w:sz w:val="18"/>
              </w:rPr>
            </w:pPr>
            <w:r w:rsidRPr="00724EC0">
              <w:rPr>
                <w:rFonts w:asciiTheme="minorHAnsi" w:hAnsiTheme="minorHAnsi" w:cstheme="minorHAnsi"/>
                <w:b/>
                <w:bCs/>
                <w:sz w:val="18"/>
              </w:rPr>
              <w:t>**********</w:t>
            </w:r>
          </w:p>
          <w:p w:rsidR="006E62E7" w:rsidRPr="00724EC0" w:rsidRDefault="006E62E7" w:rsidP="00162F35">
            <w:pPr>
              <w:jc w:val="center"/>
              <w:rPr>
                <w:rFonts w:asciiTheme="minorHAnsi" w:hAnsiTheme="minorHAnsi" w:cstheme="minorHAnsi"/>
                <w:b/>
                <w:sz w:val="18"/>
              </w:rPr>
            </w:pPr>
            <w:r w:rsidRPr="00724EC0">
              <w:rPr>
                <w:rFonts w:asciiTheme="minorHAnsi" w:hAnsiTheme="minorHAnsi" w:cstheme="minorHAnsi"/>
                <w:b/>
                <w:sz w:val="18"/>
              </w:rPr>
              <w:t>Secrétariat d’État</w:t>
            </w:r>
          </w:p>
          <w:p w:rsidR="006E62E7" w:rsidRPr="00724EC0" w:rsidRDefault="006E62E7" w:rsidP="00162F35">
            <w:pPr>
              <w:jc w:val="center"/>
              <w:rPr>
                <w:rFonts w:asciiTheme="minorHAnsi" w:hAnsiTheme="minorHAnsi" w:cstheme="minorHAnsi"/>
                <w:b/>
                <w:sz w:val="18"/>
              </w:rPr>
            </w:pPr>
            <w:r w:rsidRPr="00724EC0">
              <w:rPr>
                <w:rFonts w:asciiTheme="minorHAnsi" w:hAnsiTheme="minorHAnsi" w:cstheme="minorHAnsi"/>
                <w:b/>
                <w:bCs/>
                <w:sz w:val="18"/>
              </w:rPr>
              <w:t>**********</w:t>
            </w:r>
          </w:p>
          <w:p w:rsidR="006E62E7" w:rsidRPr="00724EC0" w:rsidRDefault="006E62E7" w:rsidP="00162F35">
            <w:pPr>
              <w:jc w:val="center"/>
              <w:rPr>
                <w:rFonts w:asciiTheme="minorHAnsi" w:hAnsiTheme="minorHAnsi" w:cstheme="minorHAnsi"/>
                <w:b/>
                <w:sz w:val="18"/>
              </w:rPr>
            </w:pPr>
            <w:r w:rsidRPr="00724EC0">
              <w:rPr>
                <w:rFonts w:asciiTheme="minorHAnsi" w:hAnsiTheme="minorHAnsi" w:cstheme="minorHAnsi"/>
                <w:b/>
                <w:sz w:val="18"/>
              </w:rPr>
              <w:t>Direction Générale</w:t>
            </w:r>
          </w:p>
          <w:p w:rsidR="006E62E7" w:rsidRPr="00724EC0" w:rsidRDefault="006E62E7" w:rsidP="00162F35">
            <w:pPr>
              <w:jc w:val="center"/>
              <w:rPr>
                <w:rFonts w:asciiTheme="minorHAnsi" w:hAnsiTheme="minorHAnsi" w:cstheme="minorHAnsi"/>
                <w:b/>
                <w:sz w:val="18"/>
              </w:rPr>
            </w:pPr>
            <w:r w:rsidRPr="00724EC0">
              <w:rPr>
                <w:rFonts w:asciiTheme="minorHAnsi" w:hAnsiTheme="minorHAnsi" w:cstheme="minorHAnsi"/>
                <w:b/>
                <w:bCs/>
                <w:sz w:val="18"/>
              </w:rPr>
              <w:t>**********</w:t>
            </w:r>
          </w:p>
          <w:p w:rsidR="006E62E7" w:rsidRPr="00724EC0" w:rsidRDefault="006E62E7" w:rsidP="00162F35">
            <w:pPr>
              <w:jc w:val="center"/>
              <w:rPr>
                <w:rFonts w:asciiTheme="minorHAnsi" w:hAnsiTheme="minorHAnsi" w:cstheme="minorHAnsi"/>
                <w:b/>
                <w:sz w:val="18"/>
              </w:rPr>
            </w:pPr>
            <w:r w:rsidRPr="00724EC0">
              <w:rPr>
                <w:rFonts w:asciiTheme="minorHAnsi" w:hAnsiTheme="minorHAnsi" w:cstheme="minorHAnsi"/>
                <w:b/>
                <w:sz w:val="18"/>
              </w:rPr>
              <w:t>Projet Pour l’Autonomisation des Femmes et le Dividende Démographique au Sahel (SWEDD)</w:t>
            </w:r>
          </w:p>
          <w:p w:rsidR="006E62E7" w:rsidRPr="00724EC0" w:rsidRDefault="006E62E7" w:rsidP="00162F35">
            <w:pPr>
              <w:jc w:val="center"/>
              <w:rPr>
                <w:rFonts w:asciiTheme="minorHAnsi" w:hAnsiTheme="minorHAnsi" w:cstheme="minorHAnsi"/>
                <w:b/>
                <w:sz w:val="18"/>
              </w:rPr>
            </w:pPr>
          </w:p>
          <w:p w:rsidR="006E62E7" w:rsidRPr="00724EC0" w:rsidRDefault="00724EC0" w:rsidP="00162F35">
            <w:pPr>
              <w:jc w:val="center"/>
              <w:rPr>
                <w:rFonts w:asciiTheme="minorHAnsi" w:hAnsiTheme="minorHAnsi" w:cstheme="minorHAnsi"/>
                <w:b/>
                <w:sz w:val="18"/>
              </w:rPr>
            </w:pPr>
            <w:r w:rsidRPr="00724EC0">
              <w:rPr>
                <w:rFonts w:asciiTheme="minorHAnsi" w:hAnsiTheme="minorHAnsi" w:cstheme="minorHAnsi"/>
                <w:b/>
                <w:sz w:val="18"/>
              </w:rPr>
              <w:t xml:space="preserve">Passation </w:t>
            </w:r>
            <w:r>
              <w:rPr>
                <w:rFonts w:asciiTheme="minorHAnsi" w:hAnsiTheme="minorHAnsi" w:cstheme="minorHAnsi"/>
                <w:b/>
                <w:sz w:val="18"/>
              </w:rPr>
              <w:t>des Marché</w:t>
            </w:r>
            <w:r w:rsidRPr="00724EC0">
              <w:rPr>
                <w:rFonts w:asciiTheme="minorHAnsi" w:hAnsiTheme="minorHAnsi" w:cstheme="minorHAnsi"/>
                <w:b/>
                <w:sz w:val="18"/>
              </w:rPr>
              <w:t>s</w:t>
            </w:r>
          </w:p>
          <w:p w:rsidR="006E62E7" w:rsidRPr="00724EC0" w:rsidRDefault="006E62E7" w:rsidP="00162F35">
            <w:pPr>
              <w:jc w:val="center"/>
              <w:rPr>
                <w:rFonts w:asciiTheme="minorHAnsi" w:hAnsiTheme="minorHAnsi" w:cstheme="minorHAnsi"/>
                <w:b/>
                <w:sz w:val="16"/>
                <w:szCs w:val="24"/>
              </w:rPr>
            </w:pPr>
          </w:p>
        </w:tc>
        <w:tc>
          <w:tcPr>
            <w:tcW w:w="2952" w:type="dxa"/>
          </w:tcPr>
          <w:p w:rsidR="006E62E7" w:rsidRPr="00724EC0" w:rsidRDefault="006E62E7" w:rsidP="00162F35">
            <w:pPr>
              <w:ind w:firstLine="360"/>
              <w:jc w:val="center"/>
              <w:rPr>
                <w:rFonts w:asciiTheme="minorHAnsi" w:hAnsiTheme="minorHAnsi" w:cstheme="minorHAnsi"/>
                <w:szCs w:val="24"/>
              </w:rPr>
            </w:pPr>
          </w:p>
          <w:p w:rsidR="006E62E7" w:rsidRPr="00724EC0" w:rsidRDefault="006E62E7" w:rsidP="00162F35">
            <w:pPr>
              <w:ind w:firstLine="360"/>
              <w:jc w:val="center"/>
              <w:rPr>
                <w:rFonts w:asciiTheme="minorHAnsi" w:hAnsiTheme="minorHAnsi" w:cstheme="minorHAnsi"/>
                <w:szCs w:val="24"/>
              </w:rPr>
            </w:pPr>
          </w:p>
          <w:p w:rsidR="006E62E7" w:rsidRPr="00724EC0" w:rsidRDefault="006E62E7" w:rsidP="00162F35">
            <w:pPr>
              <w:ind w:firstLine="360"/>
              <w:jc w:val="center"/>
              <w:rPr>
                <w:rFonts w:asciiTheme="minorHAnsi" w:hAnsiTheme="minorHAnsi" w:cstheme="minorHAnsi"/>
                <w:szCs w:val="24"/>
              </w:rPr>
            </w:pPr>
            <w:r w:rsidRPr="00724EC0">
              <w:rPr>
                <w:rFonts w:asciiTheme="minorHAnsi" w:hAnsiTheme="minorHAnsi" w:cstheme="minorHAnsi"/>
                <w:noProof/>
                <w:szCs w:val="24"/>
                <w:lang w:eastAsia="fr-FR"/>
              </w:rPr>
              <w:drawing>
                <wp:inline distT="0" distB="0" distL="0" distR="0">
                  <wp:extent cx="1125220" cy="9810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5220" cy="981075"/>
                          </a:xfrm>
                          <a:prstGeom prst="rect">
                            <a:avLst/>
                          </a:prstGeom>
                          <a:noFill/>
                          <a:ln>
                            <a:noFill/>
                          </a:ln>
                        </pic:spPr>
                      </pic:pic>
                    </a:graphicData>
                  </a:graphic>
                </wp:inline>
              </w:drawing>
            </w:r>
          </w:p>
        </w:tc>
        <w:tc>
          <w:tcPr>
            <w:tcW w:w="2693" w:type="dxa"/>
          </w:tcPr>
          <w:p w:rsidR="006E62E7" w:rsidRPr="00724EC0" w:rsidRDefault="006E62E7" w:rsidP="006D6D25">
            <w:pPr>
              <w:jc w:val="center"/>
              <w:rPr>
                <w:rFonts w:asciiTheme="minorHAnsi" w:hAnsiTheme="minorHAnsi" w:cstheme="minorHAnsi"/>
                <w:b/>
                <w:sz w:val="18"/>
              </w:rPr>
            </w:pPr>
          </w:p>
          <w:p w:rsidR="006E62E7" w:rsidRPr="00724EC0" w:rsidRDefault="006E62E7" w:rsidP="006D6D25">
            <w:pPr>
              <w:jc w:val="center"/>
              <w:rPr>
                <w:rFonts w:asciiTheme="minorHAnsi" w:hAnsiTheme="minorHAnsi" w:cstheme="minorHAnsi"/>
                <w:b/>
                <w:sz w:val="18"/>
              </w:rPr>
            </w:pPr>
            <w:r w:rsidRPr="00724EC0">
              <w:rPr>
                <w:rFonts w:asciiTheme="minorHAnsi" w:hAnsiTheme="minorHAnsi" w:cstheme="minorHAnsi"/>
                <w:b/>
                <w:sz w:val="18"/>
              </w:rPr>
              <w:t>Unité – Travail-  Progrès</w:t>
            </w:r>
          </w:p>
          <w:p w:rsidR="006E62E7" w:rsidRPr="00724EC0" w:rsidRDefault="006E62E7" w:rsidP="006D6D25">
            <w:pPr>
              <w:jc w:val="center"/>
              <w:rPr>
                <w:rFonts w:asciiTheme="minorHAnsi" w:hAnsiTheme="minorHAnsi" w:cstheme="minorHAnsi"/>
                <w:b/>
                <w:sz w:val="18"/>
              </w:rPr>
            </w:pPr>
          </w:p>
        </w:tc>
      </w:tr>
    </w:tbl>
    <w:p w:rsidR="00D20A05" w:rsidRDefault="00D20A05" w:rsidP="006E62E7">
      <w:pPr>
        <w:jc w:val="center"/>
      </w:pPr>
    </w:p>
    <w:p w:rsidR="00162F35" w:rsidRDefault="00162F35" w:rsidP="006E62E7">
      <w:pPr>
        <w:jc w:val="center"/>
      </w:pPr>
    </w:p>
    <w:p w:rsidR="00162F35" w:rsidRDefault="00162F35" w:rsidP="006E62E7">
      <w:pPr>
        <w:jc w:val="center"/>
      </w:pPr>
    </w:p>
    <w:p w:rsidR="00162F35" w:rsidRDefault="00162F35" w:rsidP="006E62E7">
      <w:pPr>
        <w:jc w:val="center"/>
      </w:pPr>
    </w:p>
    <w:p w:rsidR="006E62E7" w:rsidRPr="002C55F6" w:rsidRDefault="006E62E7" w:rsidP="006E62E7">
      <w:pPr>
        <w:jc w:val="center"/>
        <w:rPr>
          <w:rFonts w:ascii="Arial" w:hAnsi="Arial" w:cs="Arial"/>
          <w:b/>
          <w:smallCaps/>
          <w:szCs w:val="24"/>
        </w:rPr>
      </w:pPr>
    </w:p>
    <w:p w:rsidR="002C55F6" w:rsidRDefault="002C55F6" w:rsidP="006E62E7">
      <w:pPr>
        <w:jc w:val="center"/>
        <w:rPr>
          <w:rFonts w:ascii="Arial" w:hAnsi="Arial" w:cs="Arial"/>
          <w:b/>
          <w:smallCaps/>
          <w:sz w:val="32"/>
          <w:szCs w:val="24"/>
        </w:rPr>
      </w:pPr>
      <w:r w:rsidRPr="002C55F6">
        <w:rPr>
          <w:rFonts w:ascii="Arial" w:hAnsi="Arial" w:cs="Arial"/>
          <w:b/>
          <w:smallCaps/>
          <w:sz w:val="32"/>
          <w:szCs w:val="24"/>
        </w:rPr>
        <w:t>TERME</w:t>
      </w:r>
      <w:r w:rsidR="00162F35">
        <w:rPr>
          <w:rFonts w:ascii="Arial" w:hAnsi="Arial" w:cs="Arial"/>
          <w:b/>
          <w:smallCaps/>
          <w:sz w:val="32"/>
          <w:szCs w:val="24"/>
        </w:rPr>
        <w:t>S</w:t>
      </w:r>
      <w:r w:rsidRPr="002C55F6">
        <w:rPr>
          <w:rFonts w:ascii="Arial" w:hAnsi="Arial" w:cs="Arial"/>
          <w:b/>
          <w:smallCaps/>
          <w:sz w:val="32"/>
          <w:szCs w:val="24"/>
        </w:rPr>
        <w:t xml:space="preserve"> DE REFERENCE</w:t>
      </w:r>
      <w:r w:rsidR="00162F35">
        <w:rPr>
          <w:rFonts w:ascii="Arial" w:hAnsi="Arial" w:cs="Arial"/>
          <w:b/>
          <w:smallCaps/>
          <w:sz w:val="32"/>
          <w:szCs w:val="24"/>
        </w:rPr>
        <w:t>S</w:t>
      </w:r>
      <w:r w:rsidRPr="002C55F6">
        <w:rPr>
          <w:rFonts w:ascii="Arial" w:hAnsi="Arial" w:cs="Arial"/>
          <w:b/>
          <w:smallCaps/>
          <w:sz w:val="32"/>
          <w:szCs w:val="24"/>
        </w:rPr>
        <w:t xml:space="preserve"> POUR LE SERVICE D’UN CONSULTANT</w:t>
      </w:r>
    </w:p>
    <w:p w:rsidR="002C55F6" w:rsidRPr="002C55F6" w:rsidRDefault="002C55F6" w:rsidP="006E62E7">
      <w:pPr>
        <w:jc w:val="center"/>
        <w:rPr>
          <w:rFonts w:ascii="Arial" w:hAnsi="Arial" w:cs="Arial"/>
          <w:b/>
          <w:smallCaps/>
          <w:sz w:val="36"/>
        </w:rPr>
      </w:pPr>
    </w:p>
    <w:p w:rsidR="006E62E7" w:rsidRDefault="002C55F6" w:rsidP="006E62E7">
      <w:pPr>
        <w:jc w:val="center"/>
        <w:rPr>
          <w:rFonts w:ascii="Arial" w:hAnsi="Arial" w:cs="Arial"/>
          <w:b/>
          <w:smallCaps/>
          <w:sz w:val="32"/>
          <w:szCs w:val="24"/>
        </w:rPr>
      </w:pPr>
      <w:r w:rsidRPr="002C55F6">
        <w:rPr>
          <w:rFonts w:ascii="Arial" w:hAnsi="Arial" w:cs="Arial"/>
          <w:b/>
          <w:smallCaps/>
          <w:sz w:val="32"/>
        </w:rPr>
        <w:t xml:space="preserve">ASSISTANCE TECHNIQUE AUPRES </w:t>
      </w:r>
      <w:r w:rsidRPr="002C55F6">
        <w:rPr>
          <w:rFonts w:ascii="Arial" w:hAnsi="Arial" w:cs="Arial"/>
          <w:b/>
          <w:smallCaps/>
          <w:sz w:val="32"/>
          <w:szCs w:val="24"/>
        </w:rPr>
        <w:t xml:space="preserve">DU </w:t>
      </w:r>
      <w:r w:rsidR="00162F35">
        <w:rPr>
          <w:rFonts w:ascii="Arial" w:hAnsi="Arial" w:cs="Arial"/>
          <w:b/>
          <w:smallCaps/>
          <w:sz w:val="32"/>
          <w:szCs w:val="24"/>
        </w:rPr>
        <w:t>MINISTERE DU</w:t>
      </w:r>
      <w:r w:rsidRPr="002C55F6">
        <w:rPr>
          <w:rFonts w:ascii="Arial" w:hAnsi="Arial" w:cs="Arial"/>
          <w:b/>
          <w:smallCaps/>
          <w:sz w:val="32"/>
          <w:szCs w:val="24"/>
        </w:rPr>
        <w:t xml:space="preserve"> PETROLE DE L’ENREGIE ET DES MINES </w:t>
      </w:r>
    </w:p>
    <w:p w:rsidR="002C55F6" w:rsidRDefault="002C55F6" w:rsidP="006E62E7">
      <w:pPr>
        <w:jc w:val="center"/>
        <w:rPr>
          <w:rFonts w:ascii="Arial" w:hAnsi="Arial" w:cs="Arial"/>
          <w:b/>
          <w:smallCaps/>
          <w:sz w:val="32"/>
          <w:szCs w:val="24"/>
        </w:rPr>
      </w:pPr>
    </w:p>
    <w:p w:rsidR="002C55F6" w:rsidRDefault="002C55F6" w:rsidP="006E62E7">
      <w:pPr>
        <w:jc w:val="center"/>
        <w:rPr>
          <w:rFonts w:ascii="Arial" w:hAnsi="Arial" w:cs="Arial"/>
          <w:b/>
          <w:smallCaps/>
          <w:sz w:val="32"/>
          <w:szCs w:val="24"/>
        </w:rPr>
      </w:pPr>
      <w:r>
        <w:rPr>
          <w:rFonts w:ascii="Arial" w:hAnsi="Arial" w:cs="Arial"/>
          <w:b/>
          <w:smallCaps/>
          <w:sz w:val="32"/>
          <w:szCs w:val="24"/>
        </w:rPr>
        <w:t>POUR</w:t>
      </w:r>
    </w:p>
    <w:p w:rsidR="002C55F6" w:rsidRPr="002C55F6" w:rsidRDefault="002C55F6" w:rsidP="006E62E7">
      <w:pPr>
        <w:jc w:val="center"/>
        <w:rPr>
          <w:rFonts w:ascii="Arial" w:hAnsi="Arial" w:cs="Arial"/>
          <w:b/>
          <w:smallCaps/>
          <w:sz w:val="32"/>
          <w:szCs w:val="24"/>
        </w:rPr>
      </w:pPr>
    </w:p>
    <w:p w:rsidR="002C55F6" w:rsidRPr="002C55F6" w:rsidRDefault="002C55F6" w:rsidP="006E62E7">
      <w:pPr>
        <w:jc w:val="center"/>
        <w:rPr>
          <w:rFonts w:ascii="Arial" w:hAnsi="Arial" w:cs="Arial"/>
          <w:b/>
          <w:smallCaps/>
          <w:sz w:val="32"/>
          <w:szCs w:val="24"/>
        </w:rPr>
      </w:pPr>
      <w:r w:rsidRPr="002C55F6">
        <w:rPr>
          <w:rFonts w:ascii="Arial" w:hAnsi="Arial" w:cs="Arial"/>
          <w:b/>
          <w:smallCaps/>
          <w:sz w:val="32"/>
          <w:szCs w:val="24"/>
        </w:rPr>
        <w:t xml:space="preserve">L’ELABORATION, LE PILOTAGE ETLE SUIVI D’UNE </w:t>
      </w:r>
      <w:bookmarkStart w:id="0" w:name="_GoBack"/>
      <w:bookmarkEnd w:id="0"/>
      <w:r w:rsidRPr="002C55F6">
        <w:rPr>
          <w:rFonts w:ascii="Arial" w:hAnsi="Arial" w:cs="Arial"/>
          <w:b/>
          <w:smallCaps/>
          <w:sz w:val="32"/>
          <w:szCs w:val="24"/>
        </w:rPr>
        <w:t>STRATEGIE NATIONALE DE REDRESSEMENT DU SECTEUR DE L’ELECTRICITE</w:t>
      </w:r>
    </w:p>
    <w:p w:rsidR="002C55F6" w:rsidRPr="002C55F6" w:rsidRDefault="002C55F6" w:rsidP="006E62E7">
      <w:pPr>
        <w:jc w:val="center"/>
        <w:rPr>
          <w:rFonts w:ascii="Arial" w:hAnsi="Arial" w:cs="Arial"/>
          <w:b/>
          <w:smallCaps/>
          <w:sz w:val="32"/>
        </w:rPr>
      </w:pPr>
    </w:p>
    <w:p w:rsidR="002C55F6" w:rsidRDefault="002C55F6" w:rsidP="006E62E7">
      <w:pPr>
        <w:jc w:val="center"/>
        <w:rPr>
          <w:sz w:val="40"/>
        </w:rPr>
      </w:pPr>
    </w:p>
    <w:p w:rsidR="002C55F6" w:rsidRDefault="002C55F6" w:rsidP="006E62E7">
      <w:pPr>
        <w:jc w:val="center"/>
        <w:rPr>
          <w:sz w:val="40"/>
        </w:rPr>
      </w:pPr>
    </w:p>
    <w:p w:rsidR="002C55F6" w:rsidRDefault="002C55F6" w:rsidP="006E62E7">
      <w:pPr>
        <w:jc w:val="center"/>
        <w:rPr>
          <w:sz w:val="40"/>
        </w:rPr>
      </w:pPr>
    </w:p>
    <w:p w:rsidR="002C55F6" w:rsidRDefault="002C55F6" w:rsidP="006E62E7">
      <w:pPr>
        <w:jc w:val="center"/>
        <w:rPr>
          <w:sz w:val="40"/>
        </w:rPr>
      </w:pPr>
    </w:p>
    <w:p w:rsidR="002C55F6" w:rsidRDefault="002C55F6" w:rsidP="002C55F6">
      <w:pPr>
        <w:rPr>
          <w:rFonts w:ascii="Arial" w:hAnsi="Arial" w:cs="Arial"/>
          <w:b/>
          <w:smallCaps/>
          <w:sz w:val="32"/>
          <w:szCs w:val="24"/>
        </w:rPr>
      </w:pPr>
      <w:r>
        <w:rPr>
          <w:rFonts w:ascii="Arial" w:hAnsi="Arial" w:cs="Arial"/>
          <w:b/>
          <w:smallCaps/>
          <w:sz w:val="32"/>
          <w:szCs w:val="24"/>
        </w:rPr>
        <w:t xml:space="preserve">Financement : </w:t>
      </w:r>
      <w:r w:rsidR="00162F35">
        <w:rPr>
          <w:rFonts w:ascii="Arial" w:hAnsi="Arial" w:cs="Arial"/>
          <w:b/>
          <w:smallCaps/>
          <w:sz w:val="32"/>
          <w:szCs w:val="24"/>
        </w:rPr>
        <w:t xml:space="preserve">DON </w:t>
      </w:r>
      <w:r>
        <w:rPr>
          <w:rFonts w:ascii="Arial" w:hAnsi="Arial" w:cs="Arial"/>
          <w:b/>
          <w:smallCaps/>
          <w:sz w:val="32"/>
          <w:szCs w:val="24"/>
        </w:rPr>
        <w:t>IDA</w:t>
      </w:r>
      <w:r w:rsidR="00724EC0" w:rsidRPr="00724EC0">
        <w:rPr>
          <w:rFonts w:cstheme="minorHAnsi"/>
          <w:b/>
          <w:szCs w:val="24"/>
        </w:rPr>
        <w:t xml:space="preserve"> </w:t>
      </w:r>
      <w:r w:rsidR="00724EC0" w:rsidRPr="00724EC0">
        <w:rPr>
          <w:rFonts w:ascii="Arial" w:hAnsi="Arial" w:cs="Arial"/>
          <w:b/>
          <w:smallCaps/>
          <w:sz w:val="32"/>
          <w:szCs w:val="24"/>
        </w:rPr>
        <w:t>N° V 300-CD</w:t>
      </w:r>
    </w:p>
    <w:p w:rsidR="002C55F6" w:rsidRDefault="002C55F6" w:rsidP="002C55F6">
      <w:pPr>
        <w:rPr>
          <w:rFonts w:ascii="Arial" w:hAnsi="Arial" w:cs="Arial"/>
          <w:sz w:val="32"/>
          <w:szCs w:val="24"/>
        </w:rPr>
      </w:pPr>
    </w:p>
    <w:p w:rsidR="00724EC0" w:rsidRPr="002C55F6" w:rsidRDefault="00724EC0" w:rsidP="002C55F6">
      <w:pPr>
        <w:rPr>
          <w:rFonts w:ascii="Arial" w:hAnsi="Arial" w:cs="Arial"/>
          <w:sz w:val="32"/>
          <w:szCs w:val="24"/>
        </w:rPr>
      </w:pPr>
    </w:p>
    <w:p w:rsidR="002C55F6" w:rsidRPr="002C55F6" w:rsidRDefault="002C55F6" w:rsidP="002C55F6">
      <w:pPr>
        <w:rPr>
          <w:rFonts w:ascii="Arial" w:hAnsi="Arial" w:cs="Arial"/>
          <w:sz w:val="32"/>
          <w:szCs w:val="24"/>
        </w:rPr>
      </w:pPr>
    </w:p>
    <w:p w:rsidR="002C55F6" w:rsidRPr="002C55F6" w:rsidRDefault="002C55F6" w:rsidP="002C55F6">
      <w:pPr>
        <w:rPr>
          <w:rFonts w:ascii="Arial" w:hAnsi="Arial" w:cs="Arial"/>
          <w:sz w:val="32"/>
          <w:szCs w:val="24"/>
        </w:rPr>
      </w:pPr>
    </w:p>
    <w:p w:rsidR="002C55F6" w:rsidRPr="002C55F6" w:rsidRDefault="002C55F6" w:rsidP="002C55F6">
      <w:pPr>
        <w:rPr>
          <w:rFonts w:ascii="Arial" w:hAnsi="Arial" w:cs="Arial"/>
          <w:sz w:val="32"/>
          <w:szCs w:val="24"/>
        </w:rPr>
      </w:pPr>
    </w:p>
    <w:p w:rsidR="002C55F6" w:rsidRPr="002C55F6" w:rsidRDefault="002C55F6" w:rsidP="002C55F6">
      <w:pPr>
        <w:rPr>
          <w:rFonts w:ascii="Arial" w:hAnsi="Arial" w:cs="Arial"/>
          <w:sz w:val="32"/>
          <w:szCs w:val="24"/>
        </w:rPr>
      </w:pPr>
    </w:p>
    <w:p w:rsidR="002C55F6" w:rsidRDefault="002C55F6" w:rsidP="002C55F6">
      <w:pPr>
        <w:rPr>
          <w:rFonts w:ascii="Arial" w:hAnsi="Arial" w:cs="Arial"/>
          <w:sz w:val="32"/>
          <w:szCs w:val="24"/>
        </w:rPr>
      </w:pPr>
    </w:p>
    <w:p w:rsidR="002C55F6" w:rsidRDefault="002C55F6" w:rsidP="002C55F6">
      <w:pPr>
        <w:jc w:val="center"/>
        <w:rPr>
          <w:rFonts w:ascii="Arial" w:hAnsi="Arial" w:cs="Arial"/>
          <w:b/>
          <w:smallCaps/>
          <w:sz w:val="32"/>
          <w:szCs w:val="24"/>
        </w:rPr>
      </w:pPr>
      <w:r>
        <w:rPr>
          <w:rFonts w:ascii="Arial" w:hAnsi="Arial" w:cs="Arial"/>
          <w:sz w:val="32"/>
          <w:szCs w:val="24"/>
        </w:rPr>
        <w:tab/>
      </w:r>
      <w:r w:rsidRPr="002C55F6">
        <w:rPr>
          <w:rFonts w:ascii="Arial" w:hAnsi="Arial" w:cs="Arial"/>
          <w:b/>
          <w:smallCaps/>
          <w:sz w:val="32"/>
          <w:szCs w:val="24"/>
        </w:rPr>
        <w:t xml:space="preserve">MARS </w:t>
      </w:r>
      <w:r>
        <w:rPr>
          <w:rFonts w:ascii="Arial" w:hAnsi="Arial" w:cs="Arial"/>
          <w:b/>
          <w:smallCaps/>
          <w:sz w:val="32"/>
          <w:szCs w:val="24"/>
        </w:rPr>
        <w:t>2020</w:t>
      </w:r>
    </w:p>
    <w:p w:rsidR="002C55F6" w:rsidRPr="00855A0C" w:rsidRDefault="002C55F6" w:rsidP="002C55F6">
      <w:pPr>
        <w:tabs>
          <w:tab w:val="left" w:pos="6825"/>
        </w:tabs>
        <w:rPr>
          <w:rFonts w:ascii="Arial" w:hAnsi="Arial" w:cs="Arial"/>
          <w:sz w:val="20"/>
        </w:rPr>
      </w:pPr>
    </w:p>
    <w:p w:rsidR="002C55F6" w:rsidRPr="00855A0C" w:rsidRDefault="002C55F6" w:rsidP="002C55F6">
      <w:pPr>
        <w:pStyle w:val="Paragraphedeliste"/>
        <w:numPr>
          <w:ilvl w:val="0"/>
          <w:numId w:val="1"/>
        </w:numPr>
        <w:pBdr>
          <w:bottom w:val="single" w:sz="4" w:space="2" w:color="auto"/>
        </w:pBdr>
        <w:rPr>
          <w:rFonts w:ascii="Arial" w:hAnsi="Arial" w:cs="Arial"/>
          <w:b/>
          <w:smallCaps/>
          <w:sz w:val="20"/>
          <w:lang w:val="fr-FR"/>
        </w:rPr>
      </w:pPr>
      <w:r w:rsidRPr="00855A0C">
        <w:rPr>
          <w:rFonts w:ascii="Arial" w:hAnsi="Arial" w:cs="Arial"/>
          <w:b/>
          <w:smallCaps/>
          <w:sz w:val="20"/>
          <w:lang w:val="fr-FR"/>
        </w:rPr>
        <w:lastRenderedPageBreak/>
        <w:t>Contexte</w:t>
      </w:r>
    </w:p>
    <w:p w:rsidR="002C55F6" w:rsidRPr="00855A0C" w:rsidRDefault="002C55F6" w:rsidP="002C55F6">
      <w:pPr>
        <w:spacing w:before="240" w:line="276" w:lineRule="auto"/>
        <w:ind w:firstLine="720"/>
        <w:jc w:val="both"/>
        <w:rPr>
          <w:rFonts w:ascii="Arial" w:hAnsi="Arial" w:cs="Arial"/>
          <w:sz w:val="20"/>
        </w:rPr>
      </w:pPr>
      <w:r w:rsidRPr="00855A0C">
        <w:rPr>
          <w:rFonts w:ascii="Arial" w:hAnsi="Arial" w:cs="Arial"/>
          <w:sz w:val="20"/>
        </w:rPr>
        <w:t xml:space="preserve">Le Tchad est un pays enclavé à faible niveau de développement. Le revenu national brut est de 1,920 dollars US par habitant (en 2017, en parité de pouvoir d’achat) et 47% de la population vit sous le seuil de pauvreté. Le taux d’électrification est de 8% aux niveaux national, soit 20% en milieu urbain et 5% en zone rurale. Dans un contexte budgétaire contraint, le poids des subventions au secteur, à travers la fourniture de citernes de combustible pour la production électrique, pèse de manière croissante sur les finances publiques. Ainsi, les autorités nationales ont exprimé la volonté d’élaborer, à l’échelle interministérielle, un plan de redressement global du secteur avec l’ensemble des parties prenantes (présidence, administrations centrales, SNE, ADERM, ARSE etc.). Celui-ci permettra également d’articuler au mieux les appuis des partenaires techniques et financiers actifs dans le secteur.  </w:t>
      </w:r>
    </w:p>
    <w:p w:rsidR="002C55F6" w:rsidRPr="00855A0C" w:rsidRDefault="002C55F6" w:rsidP="002C55F6">
      <w:pPr>
        <w:spacing w:before="240" w:line="276" w:lineRule="auto"/>
        <w:ind w:firstLine="720"/>
        <w:jc w:val="both"/>
        <w:rPr>
          <w:rFonts w:ascii="Arial" w:hAnsi="Arial" w:cs="Arial"/>
          <w:sz w:val="20"/>
        </w:rPr>
      </w:pPr>
      <w:r w:rsidRPr="00855A0C">
        <w:rPr>
          <w:rFonts w:ascii="Arial" w:hAnsi="Arial" w:cs="Arial"/>
          <w:sz w:val="20"/>
        </w:rPr>
        <w:t xml:space="preserve">Les principaux défis du secteur pour permettre le développement de services électriques fiables et durables aux populations et aux entreprises du pays sont : (i) le coût très élevé du service électrique du fait d’une production d’origine thermique à faible rendement fonctionnant au gasoil (le coût de revient est estimé à 240 CFA/kWh facturé, à rapporter au tarif moyen de 125CFA/kWh) ; (ii) les inefficacités opérationnelles, commerciales et financière de la Société Nationale d’Électricité (SNE), avec des pertes totales d’environ 35% et un taux de recouvrement de 43% (avec des difficultés particulières auprès des clients publics, qui consomment environ un tiers de l’énergie facturée) ; (iii) un très faible accès à l’électricité, concentré à N’Djaména (SNE a environ 75,000 clients, pour les 2/3 dans la capitale) avec une faible qualité de service en raison notamment de la saturation du réseau, et (iv) l’absence d’outil de planification à moindre coût et de pilotage efficace du secteur.   </w:t>
      </w:r>
    </w:p>
    <w:p w:rsidR="002C55F6" w:rsidRPr="00855A0C" w:rsidRDefault="002C55F6" w:rsidP="002C55F6">
      <w:pPr>
        <w:spacing w:before="240" w:line="276" w:lineRule="auto"/>
        <w:ind w:firstLine="720"/>
        <w:jc w:val="both"/>
        <w:rPr>
          <w:rFonts w:ascii="Arial" w:hAnsi="Arial" w:cs="Arial"/>
          <w:sz w:val="20"/>
        </w:rPr>
      </w:pPr>
      <w:r w:rsidRPr="00855A0C">
        <w:rPr>
          <w:rFonts w:ascii="Arial" w:hAnsi="Arial" w:cs="Arial"/>
          <w:sz w:val="20"/>
        </w:rPr>
        <w:t>La SNE développe actuellement un plan d’actions pour améliorer la gestion opérationnelle, commerciale et financière de l’entreprise. Toutefois, le retour à l’équilibre du secteur de l’électricité dépasse les seuls enjeux d’amélioration de la performance de la SNE, délégataire du service électrique à travers la gestion des actifs du secteur concédés par l’État. La stratégie nationale poursuivie vise à minimiser le recours aux subventions d’exploitation (via la fourniture de carburant), à valoriser les sources d’électricité moins onéreuses, notamment l’hydroélectricité via les importations du Cameroun, et à mobiliser l’investissement privé dans la production domestique, notamment le solaire, en limitant les engagements contingents de l’Etat, ce qui nécessite un acheteur solvable. Le retour à l’équilibre financier du secteur passe également par la clarification des relations et responsabilités respectives de l’Etat et de SNE, notamment en termes de planification, d’investissement, de tarification et de subvention, de</w:t>
      </w:r>
      <w:r w:rsidR="0033455C">
        <w:rPr>
          <w:rFonts w:ascii="Arial" w:hAnsi="Arial" w:cs="Arial"/>
          <w:sz w:val="20"/>
        </w:rPr>
        <w:t xml:space="preserve"> </w:t>
      </w:r>
      <w:r w:rsidRPr="00855A0C">
        <w:rPr>
          <w:rFonts w:ascii="Arial" w:hAnsi="Arial" w:cs="Arial"/>
          <w:sz w:val="20"/>
        </w:rPr>
        <w:t xml:space="preserve">paiements des factures échues, et d’objectifs de performance (qualité du service, facturation, recouvrement, etc.), qui seront définis dans la convention de délégation. </w:t>
      </w:r>
    </w:p>
    <w:p w:rsidR="002C55F6" w:rsidRDefault="002C55F6" w:rsidP="002C55F6">
      <w:pPr>
        <w:spacing w:before="240" w:line="276" w:lineRule="auto"/>
        <w:ind w:firstLine="720"/>
        <w:jc w:val="both"/>
        <w:rPr>
          <w:rFonts w:ascii="Arial" w:hAnsi="Arial" w:cs="Arial"/>
          <w:sz w:val="20"/>
        </w:rPr>
      </w:pPr>
      <w:r w:rsidRPr="00855A0C">
        <w:rPr>
          <w:rFonts w:ascii="Arial" w:hAnsi="Arial" w:cs="Arial"/>
          <w:sz w:val="20"/>
        </w:rPr>
        <w:t xml:space="preserve">La Banque mondiale, en étroite collaboration avec la Banque Africaine de Développement et l’Union européenne, appui les autorités tchadiennes dans la préparation du projet d’interconnexion entre les réseaux électriques du Tchad et du Cameroun. Ce projet structurant et prioritaire pour le pays et la sous-région, permettra, à court terme, l’approvisionnement du Tchad en hydroélectricité peu onéreuse en provenance du Sud Cameroun, et à moyen terme, le développement d’échanges électriques transfrontaliers grâce à la valorisation du potentiel solaire sur le territoire national. Le financement de la Banque mondiale permettra notamment d’assurer : (i) le bouclage financier des ouvrages de transport sur le territoire Tchadien, (ii) le renforcement du réseau de distribution pour étendre massivement l’accès à des services électriques fiables à N’Djamena, et (iii) l’amélioration de la performance opérationnelle, commerciale et financière de la SNE. Dans le cadre de cet appui, le Ministère du Pétrole, des Mines et de l’Energie (MPME) souhaite recruter un assistant technique pour l’appuyer dans l’élaboration, le pilotage et le suivi d’une stratégie nationale de redressement du secteur électrique.    </w:t>
      </w:r>
    </w:p>
    <w:p w:rsidR="00724EC0" w:rsidRDefault="00724EC0" w:rsidP="002C55F6">
      <w:pPr>
        <w:spacing w:before="240" w:line="276" w:lineRule="auto"/>
        <w:ind w:firstLine="720"/>
        <w:jc w:val="both"/>
        <w:rPr>
          <w:rFonts w:ascii="Arial" w:hAnsi="Arial" w:cs="Arial"/>
          <w:sz w:val="20"/>
        </w:rPr>
      </w:pPr>
    </w:p>
    <w:p w:rsidR="002C55F6" w:rsidRDefault="002C55F6" w:rsidP="002C55F6">
      <w:pPr>
        <w:pStyle w:val="Paragraphedeliste"/>
        <w:pBdr>
          <w:bottom w:val="single" w:sz="4" w:space="2" w:color="auto"/>
        </w:pBdr>
        <w:rPr>
          <w:rFonts w:ascii="Arial" w:hAnsi="Arial" w:cs="Arial"/>
          <w:b/>
          <w:smallCaps/>
          <w:sz w:val="20"/>
          <w:lang w:val="fr-FR"/>
        </w:rPr>
      </w:pPr>
    </w:p>
    <w:p w:rsidR="002C55F6" w:rsidRPr="00855A0C" w:rsidRDefault="002C55F6" w:rsidP="002C55F6">
      <w:pPr>
        <w:pStyle w:val="Paragraphedeliste"/>
        <w:numPr>
          <w:ilvl w:val="0"/>
          <w:numId w:val="1"/>
        </w:numPr>
        <w:pBdr>
          <w:bottom w:val="single" w:sz="4" w:space="2" w:color="auto"/>
        </w:pBdr>
        <w:rPr>
          <w:rFonts w:ascii="Arial" w:hAnsi="Arial" w:cs="Arial"/>
          <w:b/>
          <w:smallCaps/>
          <w:sz w:val="20"/>
          <w:lang w:val="fr-FR"/>
        </w:rPr>
      </w:pPr>
      <w:r w:rsidRPr="00855A0C">
        <w:rPr>
          <w:rFonts w:ascii="Arial" w:hAnsi="Arial" w:cs="Arial"/>
          <w:b/>
          <w:smallCaps/>
          <w:sz w:val="20"/>
          <w:lang w:val="fr-FR"/>
        </w:rPr>
        <w:t xml:space="preserve">Objectif de la mission </w:t>
      </w:r>
    </w:p>
    <w:p w:rsidR="002C55F6" w:rsidRDefault="002C55F6" w:rsidP="002C55F6">
      <w:pPr>
        <w:spacing w:before="240" w:line="276" w:lineRule="auto"/>
        <w:ind w:firstLine="720"/>
        <w:jc w:val="both"/>
        <w:rPr>
          <w:rFonts w:ascii="Arial" w:hAnsi="Arial" w:cs="Arial"/>
          <w:sz w:val="20"/>
        </w:rPr>
      </w:pPr>
      <w:r w:rsidRPr="00855A0C">
        <w:rPr>
          <w:rFonts w:ascii="Arial" w:hAnsi="Arial" w:cs="Arial"/>
          <w:sz w:val="20"/>
        </w:rPr>
        <w:t xml:space="preserve">L’objectif de la mission du Consultant est une assistance technique au MPME pour l’élaboration, le pilotage et le suivi de la mise en œuvre d’une stratégie nationale de redressement du secteur de l’électricité. Cette stratégie, déployée sur un horizon de cinq années, vise à créer les conditions institutionnelles, juridiques, techniques et financières pour le développement de services électriques modernes à moindre coût sur le territoire national, en réduisant graduellement le recours aux subventions d’exploitation, pour en assurer la soutenabilité dans le temps. Cette stratégie fera intervenir l’ensemble des structures de l’Etat, de ses démembrements et des structures publiques et parapubliques. Ainsi, sa mise en œuvre sera pilotée par un groupe de travail interministériel de haut niveau dédié, dont le secrétariat technique sera assuré par le MPME.     </w:t>
      </w:r>
    </w:p>
    <w:p w:rsidR="002C55F6" w:rsidRPr="00855A0C" w:rsidRDefault="002C55F6" w:rsidP="002C55F6">
      <w:pPr>
        <w:spacing w:before="240" w:line="276" w:lineRule="auto"/>
        <w:ind w:firstLine="720"/>
        <w:jc w:val="both"/>
        <w:rPr>
          <w:rFonts w:ascii="Arial" w:hAnsi="Arial" w:cs="Arial"/>
          <w:sz w:val="20"/>
        </w:rPr>
      </w:pPr>
    </w:p>
    <w:p w:rsidR="002C55F6" w:rsidRPr="00855A0C" w:rsidRDefault="002C55F6" w:rsidP="002C55F6">
      <w:pPr>
        <w:pStyle w:val="Paragraphedeliste"/>
        <w:numPr>
          <w:ilvl w:val="0"/>
          <w:numId w:val="1"/>
        </w:numPr>
        <w:pBdr>
          <w:bottom w:val="single" w:sz="4" w:space="2" w:color="auto"/>
        </w:pBdr>
        <w:rPr>
          <w:rFonts w:ascii="Arial" w:hAnsi="Arial" w:cs="Arial"/>
          <w:b/>
          <w:smallCaps/>
          <w:sz w:val="20"/>
          <w:lang w:val="fr-FR"/>
        </w:rPr>
      </w:pPr>
      <w:r w:rsidRPr="00855A0C">
        <w:rPr>
          <w:rFonts w:ascii="Arial" w:hAnsi="Arial" w:cs="Arial"/>
          <w:b/>
          <w:smallCaps/>
          <w:sz w:val="20"/>
          <w:lang w:val="fr-FR"/>
        </w:rPr>
        <w:t xml:space="preserve">Description de la mission </w:t>
      </w:r>
    </w:p>
    <w:p w:rsidR="002C55F6" w:rsidRDefault="002C55F6" w:rsidP="002C55F6">
      <w:pPr>
        <w:spacing w:before="240" w:line="276" w:lineRule="auto"/>
        <w:ind w:firstLine="720"/>
        <w:jc w:val="both"/>
        <w:rPr>
          <w:rFonts w:ascii="Arial" w:hAnsi="Arial" w:cs="Arial"/>
          <w:sz w:val="20"/>
        </w:rPr>
      </w:pPr>
      <w:r w:rsidRPr="00855A0C">
        <w:rPr>
          <w:rFonts w:ascii="Arial" w:hAnsi="Arial" w:cs="Arial"/>
          <w:sz w:val="20"/>
        </w:rPr>
        <w:t xml:space="preserve">Pour atteindre son objectifs, la mission s’articule autour de 4 tâches principales : (1) élaborer, en concertation étroite avec l’ensemble des parties prenantes, la stratégie nationale de redressement du secteur de l’électricité, avec son calendrier et sa matrice de mise en œuvre, son plan de financement, son cadre de résultats et de suivi ; (2) assurer, pour le compte du MPME, le secrétariat technique du Comité interministériel chargé du redressement du secteur de l’électricité de concert avec le Point Focal ; (3) apporter un conseil technique au Ministre du pétrole, des Mines et de l’énergie sur l’ensemble des sujets d’intérêt touchant au secteur de l’électricité ; et (4) travailler en étroite collaboration avec le point focal du MPME sur le projet d’interconnexion des réseaux électriques transfrontaliers du Tchad et du Cameroun, mise en œuvre par la SNE.  Ces tâches spécifiques de la mission sont décrites plus avant ci-après. Elles ne sont toutefois pas nécessairement exhaustives et il est attendu du Consultant qu’il réalise l’ensemble des tâches nécessaires à l’atteinte de l’objectif de la mission.   </w:t>
      </w:r>
    </w:p>
    <w:p w:rsidR="002C55F6" w:rsidRPr="00855A0C" w:rsidRDefault="002C55F6" w:rsidP="002C55F6">
      <w:pPr>
        <w:spacing w:before="240" w:line="276" w:lineRule="auto"/>
        <w:ind w:firstLine="720"/>
        <w:jc w:val="both"/>
        <w:rPr>
          <w:rFonts w:ascii="Arial" w:hAnsi="Arial" w:cs="Arial"/>
          <w:sz w:val="20"/>
        </w:rPr>
      </w:pPr>
    </w:p>
    <w:p w:rsidR="002C55F6" w:rsidRPr="00855A0C" w:rsidRDefault="002C55F6" w:rsidP="002C55F6">
      <w:pPr>
        <w:shd w:val="clear" w:color="auto" w:fill="000000" w:themeFill="text1"/>
        <w:spacing w:after="120"/>
        <w:jc w:val="both"/>
        <w:rPr>
          <w:rFonts w:cs="Arial"/>
          <w:b/>
          <w:smallCaps/>
          <w:sz w:val="20"/>
          <w:shd w:val="clear" w:color="auto" w:fill="000000" w:themeFill="text1"/>
        </w:rPr>
      </w:pPr>
      <w:r w:rsidRPr="00855A0C">
        <w:rPr>
          <w:rFonts w:ascii="Arial Bold" w:hAnsi="Arial Bold" w:cs="Arial"/>
          <w:b/>
          <w:smallCaps/>
          <w:sz w:val="20"/>
          <w:shd w:val="clear" w:color="auto" w:fill="000000" w:themeFill="text1"/>
        </w:rPr>
        <w:t>Tâche 1</w:t>
      </w:r>
      <w:r w:rsidRPr="00855A0C">
        <w:rPr>
          <w:rFonts w:ascii="Arial Bold" w:hAnsi="Arial Bold" w:cs="Arial"/>
          <w:b/>
          <w:smallCaps/>
          <w:sz w:val="20"/>
          <w:shd w:val="clear" w:color="auto" w:fill="000000" w:themeFill="text1"/>
        </w:rPr>
        <w:tab/>
        <w:t xml:space="preserve">Stratégie nationale de redressement du secteur de l’électricité </w:t>
      </w:r>
    </w:p>
    <w:p w:rsidR="002C55F6" w:rsidRPr="00855A0C" w:rsidRDefault="002C55F6" w:rsidP="002C55F6">
      <w:pPr>
        <w:ind w:left="720"/>
        <w:jc w:val="both"/>
        <w:rPr>
          <w:rFonts w:ascii="Arial" w:hAnsi="Arial" w:cs="Arial"/>
          <w:sz w:val="20"/>
        </w:rPr>
      </w:pPr>
      <w:r w:rsidRPr="00855A0C">
        <w:rPr>
          <w:rFonts w:ascii="Arial" w:hAnsi="Arial" w:cs="Arial"/>
          <w:sz w:val="20"/>
        </w:rPr>
        <w:t>La stratégie nationale de redressement du secteur de l’électricité présente la vision du gouvernement, les moyens et structures mobilisés, ainsi que la séquences de mise en œuvre et les résultants attendus des actions identifiées, pour assurer le développement de services électriques modernes et durables sur le territoire national, en limitant graduellement le recours aux transferts budgétaires récurrents, qui pèsent actuellement sur les ressources fiscales limitée du pays</w:t>
      </w:r>
      <w:r>
        <w:rPr>
          <w:rFonts w:ascii="Arial" w:hAnsi="Arial" w:cs="Arial"/>
          <w:sz w:val="20"/>
        </w:rPr>
        <w:t xml:space="preserve">. </w:t>
      </w:r>
      <w:r w:rsidRPr="00855A0C">
        <w:rPr>
          <w:rFonts w:ascii="Arial" w:hAnsi="Arial" w:cs="Arial"/>
          <w:sz w:val="20"/>
        </w:rPr>
        <w:t xml:space="preserve">Cette stratégie vise à mettre en place les conditions nécessaires, sur les plans institutionnels (par ex. clôture de l’administration provisoire de SNE, convention de délégation de service public entre l’État et </w:t>
      </w:r>
      <w:r>
        <w:rPr>
          <w:rFonts w:ascii="Arial" w:hAnsi="Arial" w:cs="Arial"/>
          <w:sz w:val="20"/>
        </w:rPr>
        <w:t xml:space="preserve">la </w:t>
      </w:r>
      <w:r w:rsidRPr="00855A0C">
        <w:rPr>
          <w:rFonts w:ascii="Arial" w:hAnsi="Arial" w:cs="Arial"/>
          <w:sz w:val="20"/>
        </w:rPr>
        <w:t xml:space="preserve">SNE, mise en place de processus compétitifs structurés etc.), techniques (par ex. investissements prioritaires dans le renforcement du réseaux, </w:t>
      </w:r>
      <w:bookmarkStart w:id="1" w:name="_Hlk34552112"/>
      <w:r w:rsidRPr="00855A0C">
        <w:rPr>
          <w:rFonts w:ascii="Arial" w:hAnsi="Arial" w:cs="Arial"/>
          <w:sz w:val="20"/>
        </w:rPr>
        <w:t xml:space="preserve">schéma directeur production, transport et distribution, plan d’électrification rurale, etc.), opérationnels (par ex. plan d’amélioration de la performance de la SNE) </w:t>
      </w:r>
      <w:bookmarkEnd w:id="1"/>
      <w:r w:rsidRPr="00855A0C">
        <w:rPr>
          <w:rFonts w:ascii="Arial" w:hAnsi="Arial" w:cs="Arial"/>
          <w:sz w:val="20"/>
        </w:rPr>
        <w:t xml:space="preserve">et financiers (par ex. coût du services et tarification de l’électricité, subventions au secteur, facturation et recouvrement auprès des clients publics et parapublics) pour assurer le développement durable du secteur, y compris via le recours aux financement commerciaux pour accroitre l’offre de services, en minimisant les engagements contingents de l’État. </w:t>
      </w:r>
    </w:p>
    <w:p w:rsidR="002C55F6" w:rsidRDefault="002C55F6" w:rsidP="002C55F6">
      <w:pPr>
        <w:ind w:left="720"/>
        <w:jc w:val="both"/>
        <w:rPr>
          <w:rFonts w:ascii="Arial" w:hAnsi="Arial" w:cs="Arial"/>
          <w:sz w:val="20"/>
        </w:rPr>
      </w:pPr>
      <w:r w:rsidRPr="00855A0C">
        <w:rPr>
          <w:rFonts w:ascii="Arial" w:hAnsi="Arial" w:cs="Arial"/>
          <w:sz w:val="20"/>
        </w:rPr>
        <w:t xml:space="preserve">Dans ce cadre, et sur la base des analyses et travaux existants (voir VI.), le Consultant préparera, pour le compte du MPME et en étroite collaboration avec l’ensemble des structures du secteur, le projet de stratégie nationale de redressement du secteur de l’électricité, qui sera présenté et soumis, après validation par le MPE, à l’approbation du groupe de travail dédié (voir Tâche 2 ci-après). Ce document inclura notamment : (1) un cadre de résultats et de suivi (annuel) présentant les résultats attendus des actions identifiés et leurs articulations ; (2) un calendrier et une matrice de mise en œuvre, identifiant, pour chaque action proposée, les responsabilités et le chronogramme associés ; ainsi que (3) un plan de financement, </w:t>
      </w:r>
      <w:r w:rsidRPr="00855A0C">
        <w:rPr>
          <w:rFonts w:ascii="Arial" w:hAnsi="Arial" w:cs="Arial"/>
          <w:sz w:val="20"/>
        </w:rPr>
        <w:lastRenderedPageBreak/>
        <w:t xml:space="preserve">identifiant les ressources financières à mobiliser pour mettre en œuvre la stratégie, et l’impact attendu sur la situation financière globale du secteur et son besoin en subventions.  </w:t>
      </w:r>
    </w:p>
    <w:p w:rsidR="002C55F6" w:rsidRPr="00855A0C" w:rsidRDefault="002C55F6" w:rsidP="002C55F6">
      <w:pPr>
        <w:ind w:left="720"/>
        <w:jc w:val="both"/>
        <w:rPr>
          <w:rFonts w:ascii="Arial" w:hAnsi="Arial" w:cs="Arial"/>
          <w:sz w:val="20"/>
        </w:rPr>
      </w:pPr>
    </w:p>
    <w:p w:rsidR="002C55F6" w:rsidRPr="00855A0C" w:rsidRDefault="002C55F6" w:rsidP="002C55F6">
      <w:pPr>
        <w:shd w:val="clear" w:color="auto" w:fill="000000" w:themeFill="text1"/>
        <w:spacing w:after="120"/>
        <w:jc w:val="both"/>
        <w:rPr>
          <w:rFonts w:cs="Arial"/>
          <w:b/>
          <w:smallCaps/>
          <w:sz w:val="20"/>
          <w:shd w:val="clear" w:color="auto" w:fill="000000" w:themeFill="text1"/>
        </w:rPr>
      </w:pPr>
      <w:r w:rsidRPr="00855A0C">
        <w:rPr>
          <w:rFonts w:ascii="Arial Bold" w:hAnsi="Arial Bold" w:cs="Arial"/>
          <w:b/>
          <w:smallCaps/>
          <w:sz w:val="20"/>
          <w:shd w:val="clear" w:color="auto" w:fill="000000" w:themeFill="text1"/>
        </w:rPr>
        <w:t>Tâche 2</w:t>
      </w:r>
      <w:r w:rsidRPr="00855A0C">
        <w:rPr>
          <w:rFonts w:ascii="Arial Bold" w:hAnsi="Arial Bold" w:cs="Arial"/>
          <w:b/>
          <w:smallCaps/>
          <w:sz w:val="20"/>
          <w:shd w:val="clear" w:color="auto" w:fill="000000" w:themeFill="text1"/>
        </w:rPr>
        <w:tab/>
        <w:t xml:space="preserve">Secrétariat technique du groupe de travail interministériel de haut niveau  </w:t>
      </w:r>
    </w:p>
    <w:p w:rsidR="002C55F6" w:rsidRPr="00855A0C" w:rsidRDefault="002C55F6" w:rsidP="002C55F6">
      <w:pPr>
        <w:ind w:left="720"/>
        <w:jc w:val="both"/>
        <w:rPr>
          <w:rFonts w:ascii="Arial" w:hAnsi="Arial" w:cs="Arial"/>
          <w:sz w:val="20"/>
        </w:rPr>
      </w:pPr>
      <w:r w:rsidRPr="00855A0C">
        <w:rPr>
          <w:rFonts w:ascii="Arial" w:hAnsi="Arial" w:cs="Arial"/>
          <w:sz w:val="20"/>
        </w:rPr>
        <w:t xml:space="preserve">L’élaboration, le pilotage et le suivi de cette stratégie dépasse les prérogatives du seul MPE. Ainsi, Les autorités nationales ont établi un groupe de travail interministériel de haut niveau, réunissant les Ministres en charge des Finances, de l’Économie, de l’Énergie, du Commerce, le cabinet de la Présidence de la République, ainsi que les Directions Générales de SNE et de l’ADER, pour piloter ces travaux, dont le secrétariat technique est assuré par le MPME. Les partenaires techniques et financiers actifs dans le secteur sont également activement associés aux travaux du groupe de travail, en vue de faciliter la mobilisation de ressources pour la mise en œuvre de la stratégie nationale de redressement du secteur de l’énergie électrique. </w:t>
      </w:r>
    </w:p>
    <w:p w:rsidR="002C55F6" w:rsidRPr="00855A0C" w:rsidRDefault="002C55F6" w:rsidP="002C55F6">
      <w:pPr>
        <w:ind w:left="720"/>
        <w:jc w:val="both"/>
        <w:rPr>
          <w:rFonts w:ascii="Arial" w:hAnsi="Arial" w:cs="Arial"/>
          <w:sz w:val="20"/>
        </w:rPr>
      </w:pPr>
      <w:r w:rsidRPr="00855A0C">
        <w:rPr>
          <w:rFonts w:ascii="Arial" w:hAnsi="Arial" w:cs="Arial"/>
          <w:sz w:val="20"/>
        </w:rPr>
        <w:t xml:space="preserve">Dans ce cadre, le Consultant animera les travaux du groupe de travail, notamment à travers : (1) les points d’étapes réguliers (semestriels) sur la mise en œuvre de la stratégie de redressement du secteur, ainsi que l’explication des écarts par rapport à la trajectoire de référence, avec des propositions de mesures de corrections, le cas échéant ; (2) l’appui au MPME dans l’organisation des réunions régulières du groupe de travail, notamment par la mobilisation des parties prenantes, les propositions d’ordre du jour des réunions, la préparation des comptes rendu et le suivi des recommandations et actions convenus ;  (3) la préparation d’analyses et documents-supports pour informer les échanges du groupe de travail.    </w:t>
      </w:r>
    </w:p>
    <w:p w:rsidR="002C55F6" w:rsidRPr="00855A0C" w:rsidRDefault="002C55F6" w:rsidP="002C55F6">
      <w:pPr>
        <w:ind w:left="720"/>
        <w:jc w:val="both"/>
        <w:rPr>
          <w:rFonts w:ascii="Arial" w:hAnsi="Arial" w:cs="Arial"/>
          <w:sz w:val="20"/>
        </w:rPr>
      </w:pPr>
      <w:r w:rsidRPr="00855A0C">
        <w:rPr>
          <w:rFonts w:ascii="Arial" w:hAnsi="Arial" w:cs="Arial"/>
          <w:sz w:val="20"/>
        </w:rPr>
        <w:t xml:space="preserve">Le Consultant portera une attention particulière à la bonne coordination des interventions respectives des différentes structures mobilisées aux niveaux budgétaire, politique et opérationnel pour assurer leur cohérence d’ensemble, concourir à l’atteinte de l’objectif de redressement du secteur et proposer, de manière proactive et le cas échéant, les ajustements idoines.  </w:t>
      </w:r>
    </w:p>
    <w:p w:rsidR="002C55F6" w:rsidRPr="00855A0C" w:rsidRDefault="002C55F6" w:rsidP="002C55F6">
      <w:pPr>
        <w:shd w:val="clear" w:color="auto" w:fill="000000" w:themeFill="text1"/>
        <w:spacing w:line="276" w:lineRule="auto"/>
        <w:jc w:val="both"/>
        <w:rPr>
          <w:rFonts w:ascii="Arial Bold" w:hAnsi="Arial Bold" w:cs="Arial"/>
          <w:b/>
          <w:smallCaps/>
          <w:sz w:val="20"/>
          <w:shd w:val="clear" w:color="auto" w:fill="000000" w:themeFill="text1"/>
        </w:rPr>
      </w:pPr>
      <w:r w:rsidRPr="00855A0C">
        <w:rPr>
          <w:rFonts w:ascii="Arial Bold" w:hAnsi="Arial Bold" w:cs="Arial"/>
          <w:b/>
          <w:smallCaps/>
          <w:sz w:val="20"/>
          <w:shd w:val="clear" w:color="auto" w:fill="000000" w:themeFill="text1"/>
        </w:rPr>
        <w:t>Tâche 3</w:t>
      </w:r>
      <w:r w:rsidRPr="00855A0C">
        <w:rPr>
          <w:rFonts w:ascii="Arial Bold" w:hAnsi="Arial Bold" w:cs="Arial"/>
          <w:b/>
          <w:smallCaps/>
          <w:sz w:val="20"/>
          <w:shd w:val="clear" w:color="auto" w:fill="000000" w:themeFill="text1"/>
        </w:rPr>
        <w:tab/>
        <w:t xml:space="preserve">Conseil technique au MPE sur le secteur de l’électricité   </w:t>
      </w:r>
    </w:p>
    <w:p w:rsidR="002C55F6" w:rsidRPr="00855A0C" w:rsidRDefault="002C55F6" w:rsidP="002C55F6">
      <w:pPr>
        <w:pStyle w:val="Textebrut"/>
        <w:ind w:left="720"/>
        <w:jc w:val="both"/>
        <w:rPr>
          <w:rFonts w:ascii="Arial" w:eastAsiaTheme="minorHAnsi" w:hAnsi="Arial" w:cs="Arial"/>
          <w:sz w:val="20"/>
          <w:szCs w:val="20"/>
        </w:rPr>
      </w:pPr>
      <w:r w:rsidRPr="00855A0C">
        <w:rPr>
          <w:rFonts w:ascii="Arial" w:eastAsiaTheme="minorHAnsi" w:hAnsi="Arial" w:cs="Arial"/>
          <w:sz w:val="20"/>
          <w:szCs w:val="20"/>
        </w:rPr>
        <w:t xml:space="preserve">Le Consultant </w:t>
      </w:r>
      <w:r w:rsidRPr="00855A0C">
        <w:rPr>
          <w:rFonts w:ascii="Arial" w:hAnsi="Arial" w:cs="Arial"/>
          <w:sz w:val="20"/>
          <w:szCs w:val="20"/>
        </w:rPr>
        <w:t>apportera un conseil technique au Ministre du Pétrole, des Mines et de l’Énergie sur l’ensemble des sujets d’intérêt touchant au secteur de l’électricité. À ce titre, il assurera une veille informationnelle sur les développements dans le secteur et produira, à la demande du ministre, toute note, analyse et document utile pour éclairer / informer les politiques publiques</w:t>
      </w:r>
      <w:r w:rsidR="00EC46AB">
        <w:rPr>
          <w:rFonts w:ascii="Arial" w:hAnsi="Arial" w:cs="Arial"/>
          <w:sz w:val="20"/>
          <w:szCs w:val="20"/>
        </w:rPr>
        <w:t xml:space="preserve"> </w:t>
      </w:r>
      <w:r w:rsidRPr="00855A0C">
        <w:rPr>
          <w:rFonts w:ascii="Arial" w:hAnsi="Arial" w:cs="Arial"/>
          <w:sz w:val="20"/>
          <w:szCs w:val="20"/>
        </w:rPr>
        <w:t xml:space="preserve">touchant à son domaine de compétence. Il pourra notamment s’agir de formuler des propositions ou des évaluations ex-ante relatives à : (1) des ajustements institutionnels et règlementaires ; (2) les réformes tarifaires, d’apurement des arriérés et/ou relatives aux transferts budgétaires au secteur ; (3) les investissements prioritaires pour développer les services électriques et les options techniques appropriées ; (4) la mobilisation du secteur privé à travers des processus compétitifs structurés ou les offres non-sollicitées de producteur indépendant d’électricité ; etc.   </w:t>
      </w:r>
    </w:p>
    <w:p w:rsidR="002C55F6" w:rsidRPr="00855A0C" w:rsidRDefault="002C55F6" w:rsidP="002C55F6">
      <w:pPr>
        <w:pStyle w:val="Textebrut"/>
        <w:jc w:val="both"/>
        <w:rPr>
          <w:rFonts w:ascii="Arial" w:eastAsiaTheme="minorHAnsi" w:hAnsi="Arial" w:cs="Arial"/>
          <w:sz w:val="20"/>
          <w:szCs w:val="20"/>
        </w:rPr>
      </w:pPr>
    </w:p>
    <w:p w:rsidR="002C55F6" w:rsidRPr="00855A0C" w:rsidRDefault="002C55F6" w:rsidP="002C55F6">
      <w:pPr>
        <w:shd w:val="clear" w:color="auto" w:fill="000000" w:themeFill="text1"/>
        <w:spacing w:line="276" w:lineRule="auto"/>
        <w:jc w:val="both"/>
        <w:rPr>
          <w:rFonts w:ascii="Arial Bold" w:hAnsi="Arial Bold" w:cs="Arial"/>
          <w:b/>
          <w:smallCaps/>
          <w:sz w:val="20"/>
          <w:shd w:val="clear" w:color="auto" w:fill="000000" w:themeFill="text1"/>
        </w:rPr>
      </w:pPr>
      <w:r w:rsidRPr="00855A0C">
        <w:rPr>
          <w:rFonts w:ascii="Arial Bold" w:hAnsi="Arial Bold" w:cs="Arial"/>
          <w:b/>
          <w:smallCaps/>
          <w:sz w:val="20"/>
          <w:shd w:val="clear" w:color="auto" w:fill="000000" w:themeFill="text1"/>
        </w:rPr>
        <w:t>Tâche 4</w:t>
      </w:r>
      <w:r w:rsidRPr="00855A0C">
        <w:rPr>
          <w:rFonts w:ascii="Arial Bold" w:hAnsi="Arial Bold" w:cs="Arial"/>
          <w:b/>
          <w:smallCaps/>
          <w:sz w:val="20"/>
          <w:shd w:val="clear" w:color="auto" w:fill="000000" w:themeFill="text1"/>
        </w:rPr>
        <w:tab/>
        <w:t xml:space="preserve">Appui au Point focal du MPME du projet d’interconnexion  </w:t>
      </w:r>
    </w:p>
    <w:p w:rsidR="002C55F6" w:rsidRPr="00855A0C" w:rsidRDefault="002C55F6" w:rsidP="002C55F6">
      <w:pPr>
        <w:pStyle w:val="Paragraphedeliste"/>
        <w:spacing w:after="120" w:line="240" w:lineRule="auto"/>
        <w:jc w:val="both"/>
        <w:rPr>
          <w:sz w:val="24"/>
          <w:szCs w:val="24"/>
          <w:lang w:val="fr-FR"/>
        </w:rPr>
      </w:pPr>
      <w:r w:rsidRPr="00855A0C">
        <w:rPr>
          <w:rFonts w:ascii="Arial" w:hAnsi="Arial" w:cs="Arial"/>
          <w:sz w:val="20"/>
          <w:szCs w:val="20"/>
          <w:lang w:val="fr-FR"/>
        </w:rPr>
        <w:t>Le projet d’interconnexion des réseaux électriques du Tchad et du Cameroun est structurant et une priorité nationale pour le développement des réseaux domestique et sous-régional. Son financement est assuré par la Banque mondiale (projet en préparation) et la Banque Africaine de Développement avec l’appui de l’Union Européenne (projet approuvé, dans l’attente de sa mise en vigueur). La SNE, à travers une unité de gestion de projet logée au sein de la direction des opérations, est la structure de mise en œuvre du projet et assure le secrétariat du comité de pilotage du projet, constitué par les autorités et ministères de tutelle, et chargé des orientations stratégiques.</w:t>
      </w:r>
    </w:p>
    <w:p w:rsidR="002C55F6" w:rsidRPr="00855A0C" w:rsidRDefault="002C55F6" w:rsidP="002C55F6">
      <w:pPr>
        <w:pStyle w:val="Paragraphedeliste"/>
        <w:spacing w:after="120" w:line="240" w:lineRule="auto"/>
        <w:jc w:val="both"/>
        <w:rPr>
          <w:rFonts w:ascii="Arial" w:hAnsi="Arial" w:cs="Arial"/>
          <w:sz w:val="20"/>
          <w:szCs w:val="20"/>
          <w:lang w:val="fr-FR"/>
        </w:rPr>
      </w:pPr>
    </w:p>
    <w:p w:rsidR="002C55F6" w:rsidRPr="00855A0C" w:rsidRDefault="002C55F6" w:rsidP="002C55F6">
      <w:pPr>
        <w:pStyle w:val="Paragraphedeliste"/>
        <w:spacing w:after="120" w:line="240" w:lineRule="auto"/>
        <w:jc w:val="both"/>
        <w:rPr>
          <w:rFonts w:ascii="Arial" w:hAnsi="Arial" w:cs="Arial"/>
          <w:sz w:val="20"/>
          <w:szCs w:val="20"/>
          <w:lang w:val="fr-FR"/>
        </w:rPr>
      </w:pPr>
      <w:r w:rsidRPr="00855A0C">
        <w:rPr>
          <w:rFonts w:ascii="Arial" w:hAnsi="Arial" w:cs="Arial"/>
          <w:sz w:val="20"/>
          <w:szCs w:val="20"/>
          <w:lang w:val="fr-FR"/>
        </w:rPr>
        <w:t xml:space="preserve">Dans ce cadre, le Consultant appuiera le point focal du MPME pour le projet et, à ce titre, entretiendra des échanges réguliers avec le Coordonnateur du projet au sein de la SNE, afin d’assurer la circulation des informations d’intérêt entre les autorités de tutelles et les structures d’exécution, ainsi que, le cas échéant, auprès des partenaires techniques et financiers. </w:t>
      </w:r>
    </w:p>
    <w:p w:rsidR="002C55F6" w:rsidRPr="00855A0C" w:rsidRDefault="002C55F6" w:rsidP="002C55F6">
      <w:pPr>
        <w:spacing w:after="120"/>
        <w:jc w:val="both"/>
        <w:rPr>
          <w:szCs w:val="24"/>
        </w:rPr>
      </w:pPr>
      <w:r w:rsidRPr="00855A0C">
        <w:rPr>
          <w:rFonts w:ascii="Arial" w:hAnsi="Arial" w:cs="Arial"/>
          <w:b/>
          <w:bCs/>
          <w:szCs w:val="24"/>
        </w:rPr>
        <w:t>Tache 5. Appuyer l’équipe du MPME à l’organisation d’un atelier, étoffer et finaliser la Note Conceptuelle</w:t>
      </w:r>
      <w:r w:rsidRPr="00855A0C">
        <w:rPr>
          <w:szCs w:val="24"/>
        </w:rPr>
        <w:t>.</w:t>
      </w:r>
    </w:p>
    <w:p w:rsidR="002C55F6" w:rsidRPr="00564843" w:rsidRDefault="002C55F6" w:rsidP="002C55F6">
      <w:pPr>
        <w:jc w:val="both"/>
        <w:rPr>
          <w:rFonts w:ascii="Arial" w:hAnsi="Arial" w:cs="Arial"/>
          <w:sz w:val="20"/>
        </w:rPr>
      </w:pPr>
      <w:r w:rsidRPr="00564843">
        <w:rPr>
          <w:rFonts w:ascii="Arial" w:hAnsi="Arial" w:cs="Arial"/>
          <w:sz w:val="20"/>
        </w:rPr>
        <w:lastRenderedPageBreak/>
        <w:t xml:space="preserve">Le consultant appuiera l’équipe du MPME à informer, orienter et sensibiliser les opérateurs économiques </w:t>
      </w:r>
      <w:r w:rsidRPr="00D61E00">
        <w:rPr>
          <w:rFonts w:ascii="Arial" w:hAnsi="Arial" w:cs="Arial"/>
          <w:sz w:val="20"/>
        </w:rPr>
        <w:t>nationaux qu’internationaux à consentir des investissements lourds dans le secteur d’énergie électrique pour contribuer au processus de développement socio-économique du Tchad. Il accompagnera l’équipe du MPME à étoffer et final</w:t>
      </w:r>
      <w:r>
        <w:rPr>
          <w:rFonts w:ascii="Arial" w:hAnsi="Arial" w:cs="Arial"/>
          <w:sz w:val="20"/>
        </w:rPr>
        <w:t>i</w:t>
      </w:r>
      <w:r w:rsidRPr="00D61E00">
        <w:rPr>
          <w:rFonts w:ascii="Arial" w:hAnsi="Arial" w:cs="Arial"/>
          <w:sz w:val="20"/>
        </w:rPr>
        <w:t>ser</w:t>
      </w:r>
      <w:r w:rsidRPr="00564843">
        <w:rPr>
          <w:rFonts w:ascii="Arial" w:hAnsi="Arial" w:cs="Arial"/>
          <w:sz w:val="20"/>
        </w:rPr>
        <w:t xml:space="preserve"> la Note Conceptuelle en cours d’élaboration.</w:t>
      </w:r>
    </w:p>
    <w:p w:rsidR="002C55F6" w:rsidRPr="00855A0C" w:rsidRDefault="002C55F6" w:rsidP="002C55F6">
      <w:pPr>
        <w:pStyle w:val="Paragraphedeliste"/>
        <w:spacing w:after="120" w:line="240" w:lineRule="auto"/>
        <w:jc w:val="both"/>
        <w:rPr>
          <w:rFonts w:ascii="Arial Bold" w:hAnsi="Arial Bold" w:cs="Arial"/>
          <w:b/>
          <w:smallCaps/>
          <w:sz w:val="20"/>
          <w:szCs w:val="20"/>
          <w:lang w:val="fr-FR"/>
        </w:rPr>
      </w:pPr>
    </w:p>
    <w:p w:rsidR="002C55F6" w:rsidRPr="00855A0C" w:rsidRDefault="002C55F6" w:rsidP="002C55F6">
      <w:pPr>
        <w:pStyle w:val="Paragraphedeliste"/>
        <w:numPr>
          <w:ilvl w:val="0"/>
          <w:numId w:val="1"/>
        </w:numPr>
        <w:pBdr>
          <w:bottom w:val="single" w:sz="4" w:space="1" w:color="auto"/>
        </w:pBdr>
        <w:rPr>
          <w:rFonts w:ascii="Arial" w:eastAsia="Times New Roman" w:hAnsi="Arial" w:cs="Arial"/>
          <w:b/>
          <w:sz w:val="20"/>
          <w:lang w:val="fr-FR"/>
        </w:rPr>
      </w:pPr>
      <w:r w:rsidRPr="00855A0C">
        <w:rPr>
          <w:rFonts w:ascii="Arial" w:hAnsi="Arial" w:cs="Arial"/>
          <w:b/>
          <w:smallCaps/>
          <w:sz w:val="20"/>
          <w:lang w:val="fr-FR"/>
        </w:rPr>
        <w:t>Organisation des travaux</w:t>
      </w:r>
      <w:r w:rsidRPr="00855A0C">
        <w:rPr>
          <w:rFonts w:ascii="Arial Bold" w:hAnsi="Arial Bold" w:cs="Arial"/>
          <w:b/>
          <w:smallCaps/>
          <w:sz w:val="20"/>
          <w:szCs w:val="20"/>
          <w:lang w:val="fr-FR"/>
        </w:rPr>
        <w:t xml:space="preserve"> et exécution de la mission </w:t>
      </w:r>
    </w:p>
    <w:p w:rsidR="002C55F6" w:rsidRPr="00855A0C" w:rsidRDefault="002C55F6" w:rsidP="002C55F6">
      <w:pPr>
        <w:ind w:firstLine="720"/>
        <w:jc w:val="both"/>
        <w:rPr>
          <w:rFonts w:ascii="Arial" w:hAnsi="Arial" w:cs="Arial"/>
          <w:sz w:val="20"/>
        </w:rPr>
      </w:pPr>
      <w:r w:rsidRPr="00855A0C">
        <w:rPr>
          <w:rFonts w:ascii="Arial" w:hAnsi="Arial" w:cs="Arial"/>
          <w:sz w:val="20"/>
        </w:rPr>
        <w:t xml:space="preserve">L’Assistant technique, sélectionné dans le cadre d’une compétition internationale ouverte, sera logé et sein du MPME, qui lui mettra à disposition un bureau équipé. Il prendra ses instructions et reportera directement au Ministre. Il sera recruté sur la base d’un contrat à temps plein d’un an, renouvelable sur la base de l’évaluation de sa performance. Basé à N’Djaména, il pourra convenir, d’un commun accord avec son Client, d’arrangements de travail à distance, dans la limite de 30% de son temps.       </w:t>
      </w:r>
    </w:p>
    <w:p w:rsidR="002C55F6" w:rsidRPr="00855A0C" w:rsidRDefault="002C55F6" w:rsidP="002C55F6">
      <w:pPr>
        <w:ind w:firstLine="720"/>
        <w:jc w:val="both"/>
        <w:rPr>
          <w:rFonts w:ascii="Arial" w:hAnsi="Arial" w:cs="Arial"/>
          <w:sz w:val="20"/>
        </w:rPr>
      </w:pPr>
      <w:r w:rsidRPr="00855A0C">
        <w:rPr>
          <w:rFonts w:ascii="Arial" w:hAnsi="Arial" w:cs="Arial"/>
          <w:sz w:val="20"/>
        </w:rPr>
        <w:t xml:space="preserve">Tous les rapports, présentations, notes et comptes rendus (en formats électroniques en Word, Excel ou Powerpoint) élaborés </w:t>
      </w:r>
      <w:r>
        <w:rPr>
          <w:rFonts w:ascii="Arial" w:hAnsi="Arial" w:cs="Arial"/>
          <w:sz w:val="20"/>
        </w:rPr>
        <w:t xml:space="preserve">par </w:t>
      </w:r>
      <w:r w:rsidRPr="00855A0C">
        <w:rPr>
          <w:rFonts w:ascii="Arial" w:hAnsi="Arial" w:cs="Arial"/>
          <w:sz w:val="20"/>
        </w:rPr>
        <w:t>le Consultant seront rédigés en langue française et adressé</w:t>
      </w:r>
      <w:r>
        <w:rPr>
          <w:rFonts w:ascii="Arial" w:hAnsi="Arial" w:cs="Arial"/>
          <w:sz w:val="20"/>
        </w:rPr>
        <w:t>s</w:t>
      </w:r>
      <w:r w:rsidRPr="00855A0C">
        <w:rPr>
          <w:rFonts w:ascii="Arial" w:hAnsi="Arial" w:cs="Arial"/>
          <w:sz w:val="20"/>
        </w:rPr>
        <w:t xml:space="preserve"> au préalable pour approbation au MPME, avec la Banque mondiale en copie, qui pourra partager ses observations. </w:t>
      </w:r>
    </w:p>
    <w:p w:rsidR="002C55F6" w:rsidRDefault="002C55F6" w:rsidP="002C55F6">
      <w:pPr>
        <w:ind w:firstLine="720"/>
        <w:jc w:val="both"/>
        <w:rPr>
          <w:rFonts w:ascii="Arial" w:hAnsi="Arial" w:cs="Arial"/>
          <w:sz w:val="20"/>
        </w:rPr>
      </w:pPr>
      <w:r w:rsidRPr="00855A0C">
        <w:rPr>
          <w:rFonts w:ascii="Arial" w:hAnsi="Arial" w:cs="Arial"/>
          <w:sz w:val="20"/>
        </w:rPr>
        <w:t xml:space="preserve">Le plan de travail indicatif du Consultant est présenté dans le tableau ci-après. L’élaboration de la stratégie nationale de redressement du secteur (Tâche 1) occupera l’essentiel des trois premiers mois de la mission. Une fois approuvée, le pilotage et le suivi de sa mise en œuvre par les parties prenantes (Tâche 2) occupera environ le tiers du temps de travail du Consultant, tandis que le conseil technique ponctuel et à la demande du MPME (Tâche 3) devrait représenter environ un quart de l’effort total du Consultant sur la durée du contrat. Le Consultant jouera un rôle important en relation avec le point focal du projet d’interconnexion </w:t>
      </w:r>
      <w:r>
        <w:rPr>
          <w:rFonts w:ascii="Arial" w:hAnsi="Arial" w:cs="Arial"/>
          <w:sz w:val="20"/>
        </w:rPr>
        <w:t xml:space="preserve">électrique </w:t>
      </w:r>
      <w:r w:rsidRPr="00855A0C">
        <w:rPr>
          <w:rFonts w:ascii="Arial" w:hAnsi="Arial" w:cs="Arial"/>
          <w:sz w:val="20"/>
        </w:rPr>
        <w:t>Tchad-Cameroun (Tâche 4) prendra graduellement plus d’importance dans le plan de travail, à mesure des avancées dans l’exécution du projet. Le Consultant accompagnera le MPME à étoffer et finali</w:t>
      </w:r>
      <w:r>
        <w:rPr>
          <w:rFonts w:ascii="Arial" w:hAnsi="Arial" w:cs="Arial"/>
          <w:sz w:val="20"/>
        </w:rPr>
        <w:t>s</w:t>
      </w:r>
      <w:r w:rsidRPr="00855A0C">
        <w:rPr>
          <w:rFonts w:ascii="Arial" w:hAnsi="Arial" w:cs="Arial"/>
          <w:sz w:val="20"/>
        </w:rPr>
        <w:t xml:space="preserve">er le projet de Note Conceptuelle et à organiser au mieux un atelier d’information et de sensibilisation des opérateurs économiques tant nationaux qu’internationaux (Tâche 5). </w:t>
      </w:r>
    </w:p>
    <w:p w:rsidR="002C55F6" w:rsidRPr="00855A0C" w:rsidRDefault="002C55F6" w:rsidP="002C55F6">
      <w:pPr>
        <w:ind w:firstLine="720"/>
        <w:jc w:val="both"/>
        <w:rPr>
          <w:rFonts w:ascii="Arial" w:hAnsi="Arial" w:cs="Arial"/>
          <w:sz w:val="20"/>
        </w:rPr>
      </w:pPr>
    </w:p>
    <w:p w:rsidR="002C55F6" w:rsidRDefault="002C55F6" w:rsidP="002C55F6">
      <w:pPr>
        <w:pStyle w:val="Sansinterligne"/>
        <w:jc w:val="center"/>
        <w:rPr>
          <w:rFonts w:ascii="Arial" w:hAnsi="Arial" w:cs="Arial"/>
          <w:b/>
          <w:i/>
          <w:sz w:val="20"/>
          <w:lang w:val="fr-FR"/>
        </w:rPr>
      </w:pPr>
      <w:r w:rsidRPr="00855A0C">
        <w:rPr>
          <w:rFonts w:ascii="Arial" w:hAnsi="Arial" w:cs="Arial"/>
          <w:b/>
          <w:i/>
          <w:sz w:val="20"/>
          <w:lang w:val="fr-FR"/>
        </w:rPr>
        <w:t>Plan de travail indicatif pour l’année 1</w:t>
      </w:r>
    </w:p>
    <w:p w:rsidR="002C55F6" w:rsidRPr="00855A0C" w:rsidRDefault="002C55F6" w:rsidP="002C55F6">
      <w:pPr>
        <w:pStyle w:val="Sansinterligne"/>
        <w:jc w:val="center"/>
        <w:rPr>
          <w:rFonts w:ascii="Arial" w:hAnsi="Arial" w:cs="Arial"/>
          <w:b/>
          <w:i/>
          <w:sz w:val="20"/>
          <w:lang w:val="fr-FR"/>
        </w:rPr>
      </w:pPr>
    </w:p>
    <w:tbl>
      <w:tblPr>
        <w:tblStyle w:val="Grilledutableau"/>
        <w:tblW w:w="9258" w:type="dxa"/>
        <w:tblInd w:w="-5" w:type="dxa"/>
        <w:tblLook w:val="04A0"/>
      </w:tblPr>
      <w:tblGrid>
        <w:gridCol w:w="4345"/>
        <w:gridCol w:w="986"/>
        <w:gridCol w:w="305"/>
        <w:gridCol w:w="305"/>
        <w:gridCol w:w="305"/>
        <w:gridCol w:w="305"/>
        <w:gridCol w:w="305"/>
        <w:gridCol w:w="305"/>
        <w:gridCol w:w="305"/>
        <w:gridCol w:w="305"/>
        <w:gridCol w:w="305"/>
        <w:gridCol w:w="394"/>
        <w:gridCol w:w="394"/>
        <w:gridCol w:w="394"/>
      </w:tblGrid>
      <w:tr w:rsidR="002C55F6" w:rsidRPr="00855A0C" w:rsidTr="00E50A19">
        <w:tc>
          <w:tcPr>
            <w:tcW w:w="4345" w:type="dxa"/>
            <w:vMerge w:val="restart"/>
            <w:vAlign w:val="center"/>
          </w:tcPr>
          <w:p w:rsidR="002C55F6" w:rsidRPr="00855A0C" w:rsidRDefault="002C55F6" w:rsidP="00E50A19">
            <w:pPr>
              <w:jc w:val="center"/>
              <w:rPr>
                <w:rFonts w:ascii="Arial" w:hAnsi="Arial" w:cs="Arial"/>
                <w:b/>
                <w:sz w:val="18"/>
                <w:lang w:val="fr-FR"/>
              </w:rPr>
            </w:pPr>
            <w:r w:rsidRPr="00855A0C">
              <w:rPr>
                <w:rFonts w:ascii="Arial" w:hAnsi="Arial" w:cs="Arial"/>
                <w:b/>
                <w:sz w:val="18"/>
                <w:lang w:val="fr-FR"/>
              </w:rPr>
              <w:t>Mission</w:t>
            </w:r>
          </w:p>
        </w:tc>
        <w:tc>
          <w:tcPr>
            <w:tcW w:w="986" w:type="dxa"/>
            <w:vMerge w:val="restart"/>
            <w:vAlign w:val="center"/>
          </w:tcPr>
          <w:p w:rsidR="002C55F6" w:rsidRPr="00855A0C" w:rsidRDefault="002C55F6" w:rsidP="00E50A19">
            <w:pPr>
              <w:jc w:val="center"/>
              <w:rPr>
                <w:rFonts w:ascii="Arial" w:hAnsi="Arial" w:cs="Arial"/>
                <w:b/>
                <w:sz w:val="18"/>
              </w:rPr>
            </w:pPr>
            <w:r w:rsidRPr="00855A0C">
              <w:rPr>
                <w:rFonts w:ascii="Arial" w:hAnsi="Arial" w:cs="Arial"/>
                <w:b/>
                <w:sz w:val="18"/>
                <w:lang w:val="fr-FR"/>
              </w:rPr>
              <w:t>Effort estimé</w:t>
            </w:r>
          </w:p>
        </w:tc>
        <w:tc>
          <w:tcPr>
            <w:tcW w:w="3927" w:type="dxa"/>
            <w:gridSpan w:val="12"/>
            <w:vAlign w:val="center"/>
          </w:tcPr>
          <w:p w:rsidR="002C55F6" w:rsidRPr="00855A0C" w:rsidRDefault="002C55F6" w:rsidP="00E50A19">
            <w:pPr>
              <w:jc w:val="center"/>
              <w:rPr>
                <w:rFonts w:ascii="Arial" w:hAnsi="Arial" w:cs="Arial"/>
                <w:b/>
                <w:sz w:val="16"/>
                <w:lang w:val="fr-FR"/>
              </w:rPr>
            </w:pPr>
            <w:r w:rsidRPr="00855A0C">
              <w:rPr>
                <w:rFonts w:ascii="Arial" w:hAnsi="Arial" w:cs="Arial"/>
                <w:b/>
                <w:sz w:val="16"/>
                <w:lang w:val="fr-FR"/>
              </w:rPr>
              <w:t>Mois (année 1)</w:t>
            </w:r>
          </w:p>
        </w:tc>
      </w:tr>
      <w:tr w:rsidR="002C55F6" w:rsidRPr="00855A0C" w:rsidTr="00E50A19">
        <w:tc>
          <w:tcPr>
            <w:tcW w:w="4345" w:type="dxa"/>
            <w:vMerge/>
          </w:tcPr>
          <w:p w:rsidR="002C55F6" w:rsidRPr="00855A0C" w:rsidRDefault="002C55F6" w:rsidP="00E50A19">
            <w:pPr>
              <w:jc w:val="both"/>
              <w:rPr>
                <w:rFonts w:ascii="Arial" w:hAnsi="Arial" w:cs="Arial"/>
                <w:b/>
                <w:sz w:val="18"/>
                <w:lang w:val="fr-FR"/>
              </w:rPr>
            </w:pPr>
          </w:p>
        </w:tc>
        <w:tc>
          <w:tcPr>
            <w:tcW w:w="986" w:type="dxa"/>
            <w:vMerge/>
          </w:tcPr>
          <w:p w:rsidR="002C55F6" w:rsidRPr="00855A0C" w:rsidRDefault="002C55F6" w:rsidP="00E50A19">
            <w:pPr>
              <w:jc w:val="both"/>
              <w:rPr>
                <w:rFonts w:ascii="Arial" w:hAnsi="Arial" w:cs="Arial"/>
                <w:b/>
                <w:sz w:val="18"/>
                <w:lang w:val="fr-FR"/>
              </w:rPr>
            </w:pPr>
          </w:p>
        </w:tc>
        <w:tc>
          <w:tcPr>
            <w:tcW w:w="305" w:type="dxa"/>
          </w:tcPr>
          <w:p w:rsidR="002C55F6" w:rsidRPr="00855A0C" w:rsidRDefault="002C55F6" w:rsidP="00E50A19">
            <w:pPr>
              <w:jc w:val="both"/>
              <w:rPr>
                <w:rFonts w:ascii="Arial" w:hAnsi="Arial" w:cs="Arial"/>
                <w:sz w:val="16"/>
                <w:lang w:val="fr-FR"/>
              </w:rPr>
            </w:pPr>
            <w:r w:rsidRPr="00855A0C">
              <w:rPr>
                <w:rFonts w:ascii="Arial" w:hAnsi="Arial" w:cs="Arial"/>
                <w:sz w:val="16"/>
                <w:lang w:val="fr-FR"/>
              </w:rPr>
              <w:t>1</w:t>
            </w:r>
          </w:p>
        </w:tc>
        <w:tc>
          <w:tcPr>
            <w:tcW w:w="305" w:type="dxa"/>
          </w:tcPr>
          <w:p w:rsidR="002C55F6" w:rsidRPr="00855A0C" w:rsidRDefault="002C55F6" w:rsidP="00E50A19">
            <w:pPr>
              <w:jc w:val="both"/>
              <w:rPr>
                <w:rFonts w:ascii="Arial" w:hAnsi="Arial" w:cs="Arial"/>
                <w:sz w:val="16"/>
                <w:lang w:val="fr-FR"/>
              </w:rPr>
            </w:pPr>
            <w:r w:rsidRPr="00855A0C">
              <w:rPr>
                <w:rFonts w:ascii="Arial" w:hAnsi="Arial" w:cs="Arial"/>
                <w:sz w:val="16"/>
                <w:lang w:val="fr-FR"/>
              </w:rPr>
              <w:t>2</w:t>
            </w:r>
          </w:p>
        </w:tc>
        <w:tc>
          <w:tcPr>
            <w:tcW w:w="305" w:type="dxa"/>
          </w:tcPr>
          <w:p w:rsidR="002C55F6" w:rsidRPr="00855A0C" w:rsidRDefault="002C55F6" w:rsidP="00E50A19">
            <w:pPr>
              <w:jc w:val="both"/>
              <w:rPr>
                <w:rFonts w:ascii="Arial" w:hAnsi="Arial" w:cs="Arial"/>
                <w:sz w:val="16"/>
                <w:lang w:val="fr-FR"/>
              </w:rPr>
            </w:pPr>
            <w:r w:rsidRPr="00855A0C">
              <w:rPr>
                <w:rFonts w:ascii="Arial" w:hAnsi="Arial" w:cs="Arial"/>
                <w:sz w:val="16"/>
                <w:lang w:val="fr-FR"/>
              </w:rPr>
              <w:t>3</w:t>
            </w:r>
          </w:p>
        </w:tc>
        <w:tc>
          <w:tcPr>
            <w:tcW w:w="305" w:type="dxa"/>
          </w:tcPr>
          <w:p w:rsidR="002C55F6" w:rsidRPr="00855A0C" w:rsidRDefault="002C55F6" w:rsidP="00E50A19">
            <w:pPr>
              <w:jc w:val="both"/>
              <w:rPr>
                <w:rFonts w:ascii="Arial" w:hAnsi="Arial" w:cs="Arial"/>
                <w:sz w:val="16"/>
                <w:lang w:val="fr-FR"/>
              </w:rPr>
            </w:pPr>
            <w:r w:rsidRPr="00855A0C">
              <w:rPr>
                <w:rFonts w:ascii="Arial" w:hAnsi="Arial" w:cs="Arial"/>
                <w:sz w:val="16"/>
                <w:lang w:val="fr-FR"/>
              </w:rPr>
              <w:t>4</w:t>
            </w:r>
          </w:p>
        </w:tc>
        <w:tc>
          <w:tcPr>
            <w:tcW w:w="305" w:type="dxa"/>
          </w:tcPr>
          <w:p w:rsidR="002C55F6" w:rsidRPr="00855A0C" w:rsidRDefault="002C55F6" w:rsidP="00E50A19">
            <w:pPr>
              <w:jc w:val="both"/>
              <w:rPr>
                <w:rFonts w:ascii="Arial" w:hAnsi="Arial" w:cs="Arial"/>
                <w:sz w:val="16"/>
                <w:lang w:val="fr-FR"/>
              </w:rPr>
            </w:pPr>
            <w:r w:rsidRPr="00855A0C">
              <w:rPr>
                <w:rFonts w:ascii="Arial" w:hAnsi="Arial" w:cs="Arial"/>
                <w:sz w:val="16"/>
                <w:lang w:val="fr-FR"/>
              </w:rPr>
              <w:t>5</w:t>
            </w:r>
          </w:p>
        </w:tc>
        <w:tc>
          <w:tcPr>
            <w:tcW w:w="305" w:type="dxa"/>
          </w:tcPr>
          <w:p w:rsidR="002C55F6" w:rsidRPr="00855A0C" w:rsidRDefault="002C55F6" w:rsidP="00E50A19">
            <w:pPr>
              <w:jc w:val="both"/>
              <w:rPr>
                <w:rFonts w:ascii="Arial" w:hAnsi="Arial" w:cs="Arial"/>
                <w:sz w:val="16"/>
                <w:lang w:val="fr-FR"/>
              </w:rPr>
            </w:pPr>
            <w:r w:rsidRPr="00855A0C">
              <w:rPr>
                <w:rFonts w:ascii="Arial" w:hAnsi="Arial" w:cs="Arial"/>
                <w:sz w:val="16"/>
                <w:lang w:val="fr-FR"/>
              </w:rPr>
              <w:t>6</w:t>
            </w:r>
          </w:p>
        </w:tc>
        <w:tc>
          <w:tcPr>
            <w:tcW w:w="305" w:type="dxa"/>
          </w:tcPr>
          <w:p w:rsidR="002C55F6" w:rsidRPr="00855A0C" w:rsidRDefault="002C55F6" w:rsidP="00E50A19">
            <w:pPr>
              <w:jc w:val="both"/>
              <w:rPr>
                <w:rFonts w:ascii="Arial" w:hAnsi="Arial" w:cs="Arial"/>
                <w:sz w:val="16"/>
                <w:lang w:val="fr-FR"/>
              </w:rPr>
            </w:pPr>
            <w:r w:rsidRPr="00855A0C">
              <w:rPr>
                <w:rFonts w:ascii="Arial" w:hAnsi="Arial" w:cs="Arial"/>
                <w:sz w:val="16"/>
                <w:lang w:val="fr-FR"/>
              </w:rPr>
              <w:t>7</w:t>
            </w:r>
          </w:p>
        </w:tc>
        <w:tc>
          <w:tcPr>
            <w:tcW w:w="305" w:type="dxa"/>
          </w:tcPr>
          <w:p w:rsidR="002C55F6" w:rsidRPr="00855A0C" w:rsidRDefault="002C55F6" w:rsidP="00E50A19">
            <w:pPr>
              <w:jc w:val="both"/>
              <w:rPr>
                <w:rFonts w:ascii="Arial" w:hAnsi="Arial" w:cs="Arial"/>
                <w:sz w:val="16"/>
                <w:lang w:val="fr-FR"/>
              </w:rPr>
            </w:pPr>
            <w:r w:rsidRPr="00855A0C">
              <w:rPr>
                <w:rFonts w:ascii="Arial" w:hAnsi="Arial" w:cs="Arial"/>
                <w:sz w:val="16"/>
                <w:lang w:val="fr-FR"/>
              </w:rPr>
              <w:t>8</w:t>
            </w:r>
          </w:p>
        </w:tc>
        <w:tc>
          <w:tcPr>
            <w:tcW w:w="305" w:type="dxa"/>
          </w:tcPr>
          <w:p w:rsidR="002C55F6" w:rsidRPr="00855A0C" w:rsidRDefault="002C55F6" w:rsidP="00E50A19">
            <w:pPr>
              <w:jc w:val="both"/>
              <w:rPr>
                <w:rFonts w:ascii="Arial" w:hAnsi="Arial" w:cs="Arial"/>
                <w:sz w:val="16"/>
                <w:lang w:val="fr-FR"/>
              </w:rPr>
            </w:pPr>
            <w:r w:rsidRPr="00855A0C">
              <w:rPr>
                <w:rFonts w:ascii="Arial" w:hAnsi="Arial" w:cs="Arial"/>
                <w:sz w:val="16"/>
                <w:lang w:val="fr-FR"/>
              </w:rPr>
              <w:t>9</w:t>
            </w:r>
          </w:p>
        </w:tc>
        <w:tc>
          <w:tcPr>
            <w:tcW w:w="394" w:type="dxa"/>
          </w:tcPr>
          <w:p w:rsidR="002C55F6" w:rsidRPr="00855A0C" w:rsidRDefault="002C55F6" w:rsidP="00E50A19">
            <w:pPr>
              <w:jc w:val="both"/>
              <w:rPr>
                <w:rFonts w:ascii="Arial" w:hAnsi="Arial" w:cs="Arial"/>
                <w:sz w:val="16"/>
                <w:lang w:val="fr-FR"/>
              </w:rPr>
            </w:pPr>
            <w:r w:rsidRPr="00855A0C">
              <w:rPr>
                <w:rFonts w:ascii="Arial" w:hAnsi="Arial" w:cs="Arial"/>
                <w:sz w:val="16"/>
                <w:lang w:val="fr-FR"/>
              </w:rPr>
              <w:t>10</w:t>
            </w:r>
          </w:p>
        </w:tc>
        <w:tc>
          <w:tcPr>
            <w:tcW w:w="394" w:type="dxa"/>
          </w:tcPr>
          <w:p w:rsidR="002C55F6" w:rsidRPr="00855A0C" w:rsidRDefault="002C55F6" w:rsidP="00E50A19">
            <w:pPr>
              <w:jc w:val="both"/>
              <w:rPr>
                <w:rFonts w:ascii="Arial" w:hAnsi="Arial" w:cs="Arial"/>
                <w:sz w:val="16"/>
                <w:lang w:val="fr-FR"/>
              </w:rPr>
            </w:pPr>
            <w:r w:rsidRPr="00855A0C">
              <w:rPr>
                <w:rFonts w:ascii="Arial" w:hAnsi="Arial" w:cs="Arial"/>
                <w:sz w:val="16"/>
                <w:lang w:val="fr-FR"/>
              </w:rPr>
              <w:t>11</w:t>
            </w:r>
          </w:p>
        </w:tc>
        <w:tc>
          <w:tcPr>
            <w:tcW w:w="394" w:type="dxa"/>
          </w:tcPr>
          <w:p w:rsidR="002C55F6" w:rsidRPr="00855A0C" w:rsidRDefault="002C55F6" w:rsidP="00E50A19">
            <w:pPr>
              <w:jc w:val="both"/>
              <w:rPr>
                <w:rFonts w:ascii="Arial" w:hAnsi="Arial" w:cs="Arial"/>
                <w:sz w:val="16"/>
                <w:lang w:val="fr-FR"/>
              </w:rPr>
            </w:pPr>
            <w:r w:rsidRPr="00855A0C">
              <w:rPr>
                <w:rFonts w:ascii="Arial" w:hAnsi="Arial" w:cs="Arial"/>
                <w:sz w:val="16"/>
                <w:lang w:val="fr-FR"/>
              </w:rPr>
              <w:t>12</w:t>
            </w:r>
          </w:p>
        </w:tc>
      </w:tr>
      <w:tr w:rsidR="002C55F6" w:rsidRPr="00855A0C" w:rsidTr="00E50A19">
        <w:tc>
          <w:tcPr>
            <w:tcW w:w="4345" w:type="dxa"/>
          </w:tcPr>
          <w:p w:rsidR="002C55F6" w:rsidRPr="00855A0C" w:rsidRDefault="002C55F6" w:rsidP="00E50A19">
            <w:pPr>
              <w:jc w:val="both"/>
              <w:rPr>
                <w:rFonts w:ascii="Arial" w:hAnsi="Arial" w:cs="Arial"/>
                <w:sz w:val="18"/>
                <w:lang w:val="fr-FR"/>
              </w:rPr>
            </w:pPr>
            <w:r w:rsidRPr="00855A0C">
              <w:rPr>
                <w:rFonts w:ascii="Arial" w:hAnsi="Arial" w:cs="Arial"/>
                <w:sz w:val="18"/>
                <w:lang w:val="fr-FR"/>
              </w:rPr>
              <w:t xml:space="preserve">Tâche 1 : Élaboration de la stratégie </w:t>
            </w:r>
          </w:p>
        </w:tc>
        <w:tc>
          <w:tcPr>
            <w:tcW w:w="986" w:type="dxa"/>
          </w:tcPr>
          <w:p w:rsidR="002C55F6" w:rsidRPr="00855A0C" w:rsidRDefault="002C55F6" w:rsidP="00E50A19">
            <w:pPr>
              <w:jc w:val="right"/>
              <w:rPr>
                <w:rFonts w:ascii="Arial" w:hAnsi="Arial" w:cs="Arial"/>
                <w:sz w:val="18"/>
                <w:lang w:val="fr-FR"/>
              </w:rPr>
            </w:pPr>
            <w:r w:rsidRPr="00855A0C">
              <w:rPr>
                <w:rFonts w:ascii="Arial" w:hAnsi="Arial" w:cs="Arial"/>
                <w:sz w:val="18"/>
                <w:lang w:val="fr-FR"/>
              </w:rPr>
              <w:t>25%</w:t>
            </w:r>
          </w:p>
        </w:tc>
        <w:tc>
          <w:tcPr>
            <w:tcW w:w="305" w:type="dxa"/>
            <w:shd w:val="clear" w:color="auto" w:fill="595959" w:themeFill="text1" w:themeFillTint="A6"/>
          </w:tcPr>
          <w:p w:rsidR="002C55F6" w:rsidRPr="00855A0C" w:rsidRDefault="002C55F6" w:rsidP="00E50A19">
            <w:pPr>
              <w:jc w:val="both"/>
              <w:rPr>
                <w:rFonts w:ascii="Arial" w:hAnsi="Arial" w:cs="Arial"/>
                <w:sz w:val="18"/>
                <w:lang w:val="fr-FR"/>
              </w:rPr>
            </w:pPr>
          </w:p>
        </w:tc>
        <w:tc>
          <w:tcPr>
            <w:tcW w:w="305" w:type="dxa"/>
            <w:shd w:val="clear" w:color="auto" w:fill="595959" w:themeFill="text1" w:themeFillTint="A6"/>
          </w:tcPr>
          <w:p w:rsidR="002C55F6" w:rsidRPr="00855A0C" w:rsidRDefault="002C55F6" w:rsidP="00E50A19">
            <w:pPr>
              <w:jc w:val="both"/>
              <w:rPr>
                <w:rFonts w:ascii="Arial" w:hAnsi="Arial" w:cs="Arial"/>
                <w:sz w:val="18"/>
                <w:lang w:val="fr-FR"/>
              </w:rPr>
            </w:pPr>
          </w:p>
        </w:tc>
        <w:tc>
          <w:tcPr>
            <w:tcW w:w="305" w:type="dxa"/>
            <w:shd w:val="clear" w:color="auto" w:fill="595959" w:themeFill="text1" w:themeFillTint="A6"/>
          </w:tcPr>
          <w:p w:rsidR="002C55F6" w:rsidRPr="00855A0C" w:rsidRDefault="002C55F6" w:rsidP="00E50A19">
            <w:pPr>
              <w:jc w:val="both"/>
              <w:rPr>
                <w:rFonts w:ascii="Arial" w:hAnsi="Arial" w:cs="Arial"/>
                <w:sz w:val="18"/>
                <w:lang w:val="fr-FR"/>
              </w:rPr>
            </w:pPr>
          </w:p>
        </w:tc>
        <w:tc>
          <w:tcPr>
            <w:tcW w:w="305" w:type="dxa"/>
          </w:tcPr>
          <w:p w:rsidR="002C55F6" w:rsidRPr="00855A0C" w:rsidRDefault="002C55F6" w:rsidP="00E50A19">
            <w:pPr>
              <w:jc w:val="both"/>
              <w:rPr>
                <w:rFonts w:ascii="Arial" w:hAnsi="Arial" w:cs="Arial"/>
                <w:sz w:val="18"/>
                <w:lang w:val="fr-FR"/>
              </w:rPr>
            </w:pPr>
          </w:p>
        </w:tc>
        <w:tc>
          <w:tcPr>
            <w:tcW w:w="305" w:type="dxa"/>
          </w:tcPr>
          <w:p w:rsidR="002C55F6" w:rsidRPr="00855A0C" w:rsidRDefault="002C55F6" w:rsidP="00E50A19">
            <w:pPr>
              <w:jc w:val="both"/>
              <w:rPr>
                <w:rFonts w:ascii="Arial" w:hAnsi="Arial" w:cs="Arial"/>
                <w:sz w:val="18"/>
                <w:lang w:val="fr-FR"/>
              </w:rPr>
            </w:pPr>
          </w:p>
        </w:tc>
        <w:tc>
          <w:tcPr>
            <w:tcW w:w="305" w:type="dxa"/>
          </w:tcPr>
          <w:p w:rsidR="002C55F6" w:rsidRPr="00855A0C" w:rsidRDefault="002C55F6" w:rsidP="00E50A19">
            <w:pPr>
              <w:jc w:val="both"/>
              <w:rPr>
                <w:rFonts w:ascii="Arial" w:hAnsi="Arial" w:cs="Arial"/>
                <w:sz w:val="18"/>
                <w:lang w:val="fr-FR"/>
              </w:rPr>
            </w:pPr>
          </w:p>
        </w:tc>
        <w:tc>
          <w:tcPr>
            <w:tcW w:w="305" w:type="dxa"/>
          </w:tcPr>
          <w:p w:rsidR="002C55F6" w:rsidRPr="00855A0C" w:rsidRDefault="002C55F6" w:rsidP="00E50A19">
            <w:pPr>
              <w:jc w:val="both"/>
              <w:rPr>
                <w:rFonts w:ascii="Arial" w:hAnsi="Arial" w:cs="Arial"/>
                <w:sz w:val="18"/>
                <w:lang w:val="fr-FR"/>
              </w:rPr>
            </w:pPr>
          </w:p>
        </w:tc>
        <w:tc>
          <w:tcPr>
            <w:tcW w:w="305" w:type="dxa"/>
          </w:tcPr>
          <w:p w:rsidR="002C55F6" w:rsidRPr="00855A0C" w:rsidRDefault="002C55F6" w:rsidP="00E50A19">
            <w:pPr>
              <w:jc w:val="both"/>
              <w:rPr>
                <w:rFonts w:ascii="Arial" w:hAnsi="Arial" w:cs="Arial"/>
                <w:sz w:val="18"/>
                <w:lang w:val="fr-FR"/>
              </w:rPr>
            </w:pPr>
          </w:p>
        </w:tc>
        <w:tc>
          <w:tcPr>
            <w:tcW w:w="305" w:type="dxa"/>
          </w:tcPr>
          <w:p w:rsidR="002C55F6" w:rsidRPr="00855A0C" w:rsidRDefault="002C55F6" w:rsidP="00E50A19">
            <w:pPr>
              <w:jc w:val="both"/>
              <w:rPr>
                <w:rFonts w:ascii="Arial" w:hAnsi="Arial" w:cs="Arial"/>
                <w:sz w:val="18"/>
                <w:lang w:val="fr-FR"/>
              </w:rPr>
            </w:pPr>
          </w:p>
        </w:tc>
        <w:tc>
          <w:tcPr>
            <w:tcW w:w="394" w:type="dxa"/>
          </w:tcPr>
          <w:p w:rsidR="002C55F6" w:rsidRPr="00855A0C" w:rsidRDefault="002C55F6" w:rsidP="00E50A19">
            <w:pPr>
              <w:jc w:val="both"/>
              <w:rPr>
                <w:rFonts w:ascii="Arial" w:hAnsi="Arial" w:cs="Arial"/>
                <w:sz w:val="18"/>
                <w:lang w:val="fr-FR"/>
              </w:rPr>
            </w:pPr>
          </w:p>
        </w:tc>
        <w:tc>
          <w:tcPr>
            <w:tcW w:w="394" w:type="dxa"/>
          </w:tcPr>
          <w:p w:rsidR="002C55F6" w:rsidRPr="00855A0C" w:rsidRDefault="002C55F6" w:rsidP="00E50A19">
            <w:pPr>
              <w:jc w:val="both"/>
              <w:rPr>
                <w:rFonts w:ascii="Arial" w:hAnsi="Arial" w:cs="Arial"/>
                <w:sz w:val="18"/>
                <w:lang w:val="fr-FR"/>
              </w:rPr>
            </w:pPr>
          </w:p>
        </w:tc>
        <w:tc>
          <w:tcPr>
            <w:tcW w:w="394" w:type="dxa"/>
          </w:tcPr>
          <w:p w:rsidR="002C55F6" w:rsidRPr="00855A0C" w:rsidRDefault="002C55F6" w:rsidP="00E50A19">
            <w:pPr>
              <w:jc w:val="both"/>
              <w:rPr>
                <w:rFonts w:ascii="Arial" w:hAnsi="Arial" w:cs="Arial"/>
                <w:sz w:val="18"/>
                <w:lang w:val="fr-FR"/>
              </w:rPr>
            </w:pPr>
          </w:p>
        </w:tc>
      </w:tr>
      <w:tr w:rsidR="002C55F6" w:rsidRPr="00855A0C" w:rsidTr="00E50A19">
        <w:tc>
          <w:tcPr>
            <w:tcW w:w="4345" w:type="dxa"/>
          </w:tcPr>
          <w:p w:rsidR="002C55F6" w:rsidRPr="00855A0C" w:rsidRDefault="002C55F6" w:rsidP="00E50A19">
            <w:pPr>
              <w:jc w:val="both"/>
              <w:rPr>
                <w:rFonts w:ascii="Arial" w:hAnsi="Arial" w:cs="Arial"/>
                <w:sz w:val="18"/>
                <w:lang w:val="fr-FR"/>
              </w:rPr>
            </w:pPr>
            <w:r w:rsidRPr="00855A0C">
              <w:rPr>
                <w:rFonts w:ascii="Arial" w:hAnsi="Arial" w:cs="Arial"/>
                <w:sz w:val="18"/>
                <w:lang w:val="fr-FR"/>
              </w:rPr>
              <w:t>Tâche 2 : Secrétariat technique du groupe de travail</w:t>
            </w:r>
          </w:p>
        </w:tc>
        <w:tc>
          <w:tcPr>
            <w:tcW w:w="986" w:type="dxa"/>
          </w:tcPr>
          <w:p w:rsidR="002C55F6" w:rsidRPr="00855A0C" w:rsidRDefault="002C55F6" w:rsidP="00E50A19">
            <w:pPr>
              <w:jc w:val="right"/>
              <w:rPr>
                <w:rFonts w:ascii="Arial" w:hAnsi="Arial" w:cs="Arial"/>
                <w:sz w:val="18"/>
                <w:lang w:val="fr-FR"/>
              </w:rPr>
            </w:pPr>
            <w:r w:rsidRPr="00855A0C">
              <w:rPr>
                <w:rFonts w:ascii="Arial" w:hAnsi="Arial" w:cs="Arial"/>
                <w:sz w:val="18"/>
                <w:lang w:val="fr-FR"/>
              </w:rPr>
              <w:t>35%</w:t>
            </w:r>
          </w:p>
        </w:tc>
        <w:tc>
          <w:tcPr>
            <w:tcW w:w="305" w:type="dxa"/>
          </w:tcPr>
          <w:p w:rsidR="002C55F6" w:rsidRPr="00855A0C" w:rsidRDefault="002C55F6" w:rsidP="00E50A19">
            <w:pPr>
              <w:jc w:val="both"/>
              <w:rPr>
                <w:rFonts w:ascii="Arial" w:hAnsi="Arial" w:cs="Arial"/>
                <w:sz w:val="18"/>
                <w:lang w:val="fr-FR"/>
              </w:rPr>
            </w:pPr>
          </w:p>
        </w:tc>
        <w:tc>
          <w:tcPr>
            <w:tcW w:w="305" w:type="dxa"/>
          </w:tcPr>
          <w:p w:rsidR="002C55F6" w:rsidRPr="00855A0C" w:rsidRDefault="002C55F6" w:rsidP="00E50A19">
            <w:pPr>
              <w:jc w:val="both"/>
              <w:rPr>
                <w:rFonts w:ascii="Arial" w:hAnsi="Arial" w:cs="Arial"/>
                <w:sz w:val="18"/>
                <w:lang w:val="fr-FR"/>
              </w:rPr>
            </w:pPr>
          </w:p>
        </w:tc>
        <w:tc>
          <w:tcPr>
            <w:tcW w:w="305" w:type="dxa"/>
          </w:tcPr>
          <w:p w:rsidR="002C55F6" w:rsidRPr="00855A0C" w:rsidRDefault="002C55F6" w:rsidP="00E50A19">
            <w:pPr>
              <w:jc w:val="both"/>
              <w:rPr>
                <w:rFonts w:ascii="Arial" w:hAnsi="Arial" w:cs="Arial"/>
                <w:sz w:val="18"/>
                <w:lang w:val="fr-FR"/>
              </w:rPr>
            </w:pPr>
          </w:p>
        </w:tc>
        <w:tc>
          <w:tcPr>
            <w:tcW w:w="305" w:type="dxa"/>
            <w:shd w:val="clear" w:color="auto" w:fill="808080" w:themeFill="background1" w:themeFillShade="80"/>
          </w:tcPr>
          <w:p w:rsidR="002C55F6" w:rsidRPr="00855A0C" w:rsidRDefault="002C55F6" w:rsidP="00E50A19">
            <w:pPr>
              <w:jc w:val="both"/>
              <w:rPr>
                <w:rFonts w:ascii="Arial" w:hAnsi="Arial" w:cs="Arial"/>
                <w:sz w:val="18"/>
                <w:lang w:val="fr-FR"/>
              </w:rPr>
            </w:pPr>
          </w:p>
        </w:tc>
        <w:tc>
          <w:tcPr>
            <w:tcW w:w="305" w:type="dxa"/>
            <w:shd w:val="clear" w:color="auto" w:fill="808080" w:themeFill="background1" w:themeFillShade="80"/>
          </w:tcPr>
          <w:p w:rsidR="002C55F6" w:rsidRPr="00855A0C" w:rsidRDefault="002C55F6" w:rsidP="00E50A19">
            <w:pPr>
              <w:jc w:val="both"/>
              <w:rPr>
                <w:rFonts w:ascii="Arial" w:hAnsi="Arial" w:cs="Arial"/>
                <w:sz w:val="18"/>
                <w:lang w:val="fr-FR"/>
              </w:rPr>
            </w:pPr>
          </w:p>
        </w:tc>
        <w:tc>
          <w:tcPr>
            <w:tcW w:w="305" w:type="dxa"/>
            <w:shd w:val="clear" w:color="auto" w:fill="808080" w:themeFill="background1" w:themeFillShade="80"/>
          </w:tcPr>
          <w:p w:rsidR="002C55F6" w:rsidRPr="00855A0C" w:rsidRDefault="002C55F6" w:rsidP="00E50A19">
            <w:pPr>
              <w:jc w:val="both"/>
              <w:rPr>
                <w:rFonts w:ascii="Arial" w:hAnsi="Arial" w:cs="Arial"/>
                <w:sz w:val="18"/>
                <w:lang w:val="fr-FR"/>
              </w:rPr>
            </w:pPr>
          </w:p>
        </w:tc>
        <w:tc>
          <w:tcPr>
            <w:tcW w:w="305" w:type="dxa"/>
            <w:shd w:val="clear" w:color="auto" w:fill="808080" w:themeFill="background1" w:themeFillShade="80"/>
          </w:tcPr>
          <w:p w:rsidR="002C55F6" w:rsidRPr="00855A0C" w:rsidRDefault="002C55F6" w:rsidP="00E50A19">
            <w:pPr>
              <w:jc w:val="both"/>
              <w:rPr>
                <w:rFonts w:ascii="Arial" w:hAnsi="Arial" w:cs="Arial"/>
                <w:sz w:val="18"/>
                <w:lang w:val="fr-FR"/>
              </w:rPr>
            </w:pPr>
          </w:p>
        </w:tc>
        <w:tc>
          <w:tcPr>
            <w:tcW w:w="305" w:type="dxa"/>
            <w:shd w:val="clear" w:color="auto" w:fill="808080" w:themeFill="background1" w:themeFillShade="80"/>
          </w:tcPr>
          <w:p w:rsidR="002C55F6" w:rsidRPr="00855A0C" w:rsidRDefault="002C55F6" w:rsidP="00E50A19">
            <w:pPr>
              <w:jc w:val="both"/>
              <w:rPr>
                <w:rFonts w:ascii="Arial" w:hAnsi="Arial" w:cs="Arial"/>
                <w:sz w:val="18"/>
                <w:lang w:val="fr-FR"/>
              </w:rPr>
            </w:pPr>
          </w:p>
        </w:tc>
        <w:tc>
          <w:tcPr>
            <w:tcW w:w="305" w:type="dxa"/>
            <w:shd w:val="clear" w:color="auto" w:fill="808080" w:themeFill="background1" w:themeFillShade="80"/>
          </w:tcPr>
          <w:p w:rsidR="002C55F6" w:rsidRPr="00855A0C" w:rsidRDefault="002C55F6" w:rsidP="00E50A19">
            <w:pPr>
              <w:jc w:val="both"/>
              <w:rPr>
                <w:rFonts w:ascii="Arial" w:hAnsi="Arial" w:cs="Arial"/>
                <w:sz w:val="18"/>
                <w:lang w:val="fr-FR"/>
              </w:rPr>
            </w:pPr>
          </w:p>
        </w:tc>
        <w:tc>
          <w:tcPr>
            <w:tcW w:w="394" w:type="dxa"/>
            <w:shd w:val="clear" w:color="auto" w:fill="808080" w:themeFill="background1" w:themeFillShade="80"/>
          </w:tcPr>
          <w:p w:rsidR="002C55F6" w:rsidRPr="00855A0C" w:rsidRDefault="002C55F6" w:rsidP="00E50A19">
            <w:pPr>
              <w:jc w:val="both"/>
              <w:rPr>
                <w:rFonts w:ascii="Arial" w:hAnsi="Arial" w:cs="Arial"/>
                <w:sz w:val="18"/>
                <w:lang w:val="fr-FR"/>
              </w:rPr>
            </w:pPr>
          </w:p>
        </w:tc>
        <w:tc>
          <w:tcPr>
            <w:tcW w:w="394" w:type="dxa"/>
            <w:shd w:val="clear" w:color="auto" w:fill="808080" w:themeFill="background1" w:themeFillShade="80"/>
          </w:tcPr>
          <w:p w:rsidR="002C55F6" w:rsidRPr="00855A0C" w:rsidRDefault="002C55F6" w:rsidP="00E50A19">
            <w:pPr>
              <w:jc w:val="both"/>
              <w:rPr>
                <w:rFonts w:ascii="Arial" w:hAnsi="Arial" w:cs="Arial"/>
                <w:sz w:val="18"/>
                <w:lang w:val="fr-FR"/>
              </w:rPr>
            </w:pPr>
          </w:p>
        </w:tc>
        <w:tc>
          <w:tcPr>
            <w:tcW w:w="394" w:type="dxa"/>
            <w:shd w:val="clear" w:color="auto" w:fill="808080" w:themeFill="background1" w:themeFillShade="80"/>
          </w:tcPr>
          <w:p w:rsidR="002C55F6" w:rsidRPr="00855A0C" w:rsidRDefault="002C55F6" w:rsidP="00E50A19">
            <w:pPr>
              <w:jc w:val="both"/>
              <w:rPr>
                <w:rFonts w:ascii="Arial" w:hAnsi="Arial" w:cs="Arial"/>
                <w:sz w:val="18"/>
                <w:lang w:val="fr-FR"/>
              </w:rPr>
            </w:pPr>
          </w:p>
        </w:tc>
      </w:tr>
      <w:tr w:rsidR="002C55F6" w:rsidRPr="00855A0C" w:rsidTr="00E50A19">
        <w:tc>
          <w:tcPr>
            <w:tcW w:w="4345" w:type="dxa"/>
          </w:tcPr>
          <w:p w:rsidR="002C55F6" w:rsidRPr="00855A0C" w:rsidRDefault="002C55F6" w:rsidP="00E50A19">
            <w:pPr>
              <w:jc w:val="both"/>
              <w:rPr>
                <w:rFonts w:ascii="Arial" w:hAnsi="Arial" w:cs="Arial"/>
                <w:sz w:val="18"/>
                <w:lang w:val="fr-FR"/>
              </w:rPr>
            </w:pPr>
            <w:r w:rsidRPr="00855A0C">
              <w:rPr>
                <w:rFonts w:ascii="Arial" w:hAnsi="Arial" w:cs="Arial"/>
                <w:sz w:val="18"/>
                <w:lang w:val="fr-FR"/>
              </w:rPr>
              <w:t>Tâche 3 : Conseil technique au MPME</w:t>
            </w:r>
          </w:p>
        </w:tc>
        <w:tc>
          <w:tcPr>
            <w:tcW w:w="986" w:type="dxa"/>
          </w:tcPr>
          <w:p w:rsidR="002C55F6" w:rsidRPr="00855A0C" w:rsidRDefault="002C55F6" w:rsidP="00E50A19">
            <w:pPr>
              <w:jc w:val="right"/>
              <w:rPr>
                <w:rFonts w:ascii="Arial" w:hAnsi="Arial" w:cs="Arial"/>
                <w:sz w:val="18"/>
                <w:lang w:val="fr-FR"/>
              </w:rPr>
            </w:pPr>
            <w:r w:rsidRPr="00855A0C">
              <w:rPr>
                <w:rFonts w:ascii="Arial" w:hAnsi="Arial" w:cs="Arial"/>
                <w:sz w:val="18"/>
                <w:lang w:val="fr-FR"/>
              </w:rPr>
              <w:t>25%</w:t>
            </w:r>
          </w:p>
        </w:tc>
        <w:tc>
          <w:tcPr>
            <w:tcW w:w="305" w:type="dxa"/>
            <w:shd w:val="clear" w:color="auto" w:fill="auto"/>
          </w:tcPr>
          <w:p w:rsidR="002C55F6" w:rsidRPr="00855A0C" w:rsidRDefault="002C55F6" w:rsidP="00E50A19">
            <w:pPr>
              <w:jc w:val="both"/>
              <w:rPr>
                <w:rFonts w:ascii="Arial" w:hAnsi="Arial" w:cs="Arial"/>
                <w:sz w:val="18"/>
                <w:lang w:val="fr-FR"/>
              </w:rPr>
            </w:pPr>
          </w:p>
        </w:tc>
        <w:tc>
          <w:tcPr>
            <w:tcW w:w="305" w:type="dxa"/>
            <w:shd w:val="clear" w:color="auto" w:fill="A6A6A6" w:themeFill="background1" w:themeFillShade="A6"/>
          </w:tcPr>
          <w:p w:rsidR="002C55F6" w:rsidRPr="00855A0C" w:rsidRDefault="002C55F6" w:rsidP="00E50A19">
            <w:pPr>
              <w:jc w:val="both"/>
              <w:rPr>
                <w:rFonts w:ascii="Arial" w:hAnsi="Arial" w:cs="Arial"/>
                <w:sz w:val="18"/>
                <w:lang w:val="fr-FR"/>
              </w:rPr>
            </w:pPr>
          </w:p>
        </w:tc>
        <w:tc>
          <w:tcPr>
            <w:tcW w:w="305" w:type="dxa"/>
            <w:shd w:val="clear" w:color="auto" w:fill="A6A6A6" w:themeFill="background1" w:themeFillShade="A6"/>
          </w:tcPr>
          <w:p w:rsidR="002C55F6" w:rsidRPr="00855A0C" w:rsidRDefault="002C55F6" w:rsidP="00E50A19">
            <w:pPr>
              <w:jc w:val="both"/>
              <w:rPr>
                <w:rFonts w:ascii="Arial" w:hAnsi="Arial" w:cs="Arial"/>
                <w:sz w:val="18"/>
                <w:lang w:val="fr-FR"/>
              </w:rPr>
            </w:pPr>
          </w:p>
        </w:tc>
        <w:tc>
          <w:tcPr>
            <w:tcW w:w="305" w:type="dxa"/>
            <w:shd w:val="clear" w:color="auto" w:fill="A6A6A6" w:themeFill="background1" w:themeFillShade="A6"/>
          </w:tcPr>
          <w:p w:rsidR="002C55F6" w:rsidRPr="00855A0C" w:rsidRDefault="002C55F6" w:rsidP="00E50A19">
            <w:pPr>
              <w:jc w:val="both"/>
              <w:rPr>
                <w:rFonts w:ascii="Arial" w:hAnsi="Arial" w:cs="Arial"/>
                <w:sz w:val="18"/>
                <w:lang w:val="fr-FR"/>
              </w:rPr>
            </w:pPr>
          </w:p>
        </w:tc>
        <w:tc>
          <w:tcPr>
            <w:tcW w:w="305" w:type="dxa"/>
            <w:shd w:val="clear" w:color="auto" w:fill="A6A6A6" w:themeFill="background1" w:themeFillShade="A6"/>
          </w:tcPr>
          <w:p w:rsidR="002C55F6" w:rsidRPr="00855A0C" w:rsidRDefault="002C55F6" w:rsidP="00E50A19">
            <w:pPr>
              <w:jc w:val="both"/>
              <w:rPr>
                <w:rFonts w:ascii="Arial" w:hAnsi="Arial" w:cs="Arial"/>
                <w:sz w:val="18"/>
                <w:lang w:val="fr-FR"/>
              </w:rPr>
            </w:pPr>
          </w:p>
        </w:tc>
        <w:tc>
          <w:tcPr>
            <w:tcW w:w="305" w:type="dxa"/>
            <w:shd w:val="clear" w:color="auto" w:fill="A6A6A6" w:themeFill="background1" w:themeFillShade="A6"/>
          </w:tcPr>
          <w:p w:rsidR="002C55F6" w:rsidRPr="00855A0C" w:rsidRDefault="002C55F6" w:rsidP="00E50A19">
            <w:pPr>
              <w:jc w:val="both"/>
              <w:rPr>
                <w:rFonts w:ascii="Arial" w:hAnsi="Arial" w:cs="Arial"/>
                <w:sz w:val="18"/>
                <w:lang w:val="fr-FR"/>
              </w:rPr>
            </w:pPr>
          </w:p>
        </w:tc>
        <w:tc>
          <w:tcPr>
            <w:tcW w:w="305" w:type="dxa"/>
            <w:shd w:val="clear" w:color="auto" w:fill="A6A6A6" w:themeFill="background1" w:themeFillShade="A6"/>
          </w:tcPr>
          <w:p w:rsidR="002C55F6" w:rsidRPr="00855A0C" w:rsidRDefault="002C55F6" w:rsidP="00E50A19">
            <w:pPr>
              <w:jc w:val="both"/>
              <w:rPr>
                <w:rFonts w:ascii="Arial" w:hAnsi="Arial" w:cs="Arial"/>
                <w:sz w:val="18"/>
                <w:lang w:val="fr-FR"/>
              </w:rPr>
            </w:pPr>
          </w:p>
        </w:tc>
        <w:tc>
          <w:tcPr>
            <w:tcW w:w="305" w:type="dxa"/>
            <w:shd w:val="clear" w:color="auto" w:fill="A6A6A6" w:themeFill="background1" w:themeFillShade="A6"/>
          </w:tcPr>
          <w:p w:rsidR="002C55F6" w:rsidRPr="00855A0C" w:rsidRDefault="002C55F6" w:rsidP="00E50A19">
            <w:pPr>
              <w:jc w:val="both"/>
              <w:rPr>
                <w:rFonts w:ascii="Arial" w:hAnsi="Arial" w:cs="Arial"/>
                <w:sz w:val="18"/>
                <w:lang w:val="fr-FR"/>
              </w:rPr>
            </w:pPr>
          </w:p>
        </w:tc>
        <w:tc>
          <w:tcPr>
            <w:tcW w:w="305" w:type="dxa"/>
            <w:shd w:val="clear" w:color="auto" w:fill="A6A6A6" w:themeFill="background1" w:themeFillShade="A6"/>
          </w:tcPr>
          <w:p w:rsidR="002C55F6" w:rsidRPr="00855A0C" w:rsidRDefault="002C55F6" w:rsidP="00E50A19">
            <w:pPr>
              <w:jc w:val="both"/>
              <w:rPr>
                <w:rFonts w:ascii="Arial" w:hAnsi="Arial" w:cs="Arial"/>
                <w:sz w:val="18"/>
                <w:lang w:val="fr-FR"/>
              </w:rPr>
            </w:pPr>
          </w:p>
        </w:tc>
        <w:tc>
          <w:tcPr>
            <w:tcW w:w="394" w:type="dxa"/>
            <w:shd w:val="clear" w:color="auto" w:fill="A6A6A6" w:themeFill="background1" w:themeFillShade="A6"/>
          </w:tcPr>
          <w:p w:rsidR="002C55F6" w:rsidRPr="00855A0C" w:rsidRDefault="002C55F6" w:rsidP="00E50A19">
            <w:pPr>
              <w:jc w:val="both"/>
              <w:rPr>
                <w:rFonts w:ascii="Arial" w:hAnsi="Arial" w:cs="Arial"/>
                <w:sz w:val="18"/>
                <w:lang w:val="fr-FR"/>
              </w:rPr>
            </w:pPr>
          </w:p>
        </w:tc>
        <w:tc>
          <w:tcPr>
            <w:tcW w:w="394" w:type="dxa"/>
            <w:shd w:val="clear" w:color="auto" w:fill="A6A6A6" w:themeFill="background1" w:themeFillShade="A6"/>
          </w:tcPr>
          <w:p w:rsidR="002C55F6" w:rsidRPr="00855A0C" w:rsidRDefault="002C55F6" w:rsidP="00E50A19">
            <w:pPr>
              <w:jc w:val="both"/>
              <w:rPr>
                <w:rFonts w:ascii="Arial" w:hAnsi="Arial" w:cs="Arial"/>
                <w:sz w:val="18"/>
                <w:lang w:val="fr-FR"/>
              </w:rPr>
            </w:pPr>
          </w:p>
        </w:tc>
        <w:tc>
          <w:tcPr>
            <w:tcW w:w="394" w:type="dxa"/>
            <w:shd w:val="clear" w:color="auto" w:fill="A6A6A6" w:themeFill="background1" w:themeFillShade="A6"/>
          </w:tcPr>
          <w:p w:rsidR="002C55F6" w:rsidRPr="00855A0C" w:rsidRDefault="002C55F6" w:rsidP="00E50A19">
            <w:pPr>
              <w:jc w:val="both"/>
              <w:rPr>
                <w:rFonts w:ascii="Arial" w:hAnsi="Arial" w:cs="Arial"/>
                <w:sz w:val="18"/>
                <w:lang w:val="fr-FR"/>
              </w:rPr>
            </w:pPr>
          </w:p>
        </w:tc>
      </w:tr>
      <w:tr w:rsidR="002C55F6" w:rsidRPr="00855A0C" w:rsidTr="00E50A19">
        <w:tc>
          <w:tcPr>
            <w:tcW w:w="4345" w:type="dxa"/>
          </w:tcPr>
          <w:p w:rsidR="002C55F6" w:rsidRPr="00855A0C" w:rsidRDefault="002C55F6" w:rsidP="00E50A19">
            <w:pPr>
              <w:jc w:val="both"/>
              <w:rPr>
                <w:rFonts w:ascii="Arial" w:hAnsi="Arial" w:cs="Arial"/>
                <w:sz w:val="18"/>
                <w:lang w:val="fr-FR"/>
              </w:rPr>
            </w:pPr>
            <w:r w:rsidRPr="00855A0C">
              <w:rPr>
                <w:rFonts w:ascii="Arial" w:hAnsi="Arial" w:cs="Arial"/>
                <w:sz w:val="18"/>
                <w:lang w:val="fr-FR"/>
              </w:rPr>
              <w:t xml:space="preserve">Tâche 4 : Point focal MPME – projet interconnexion </w:t>
            </w:r>
          </w:p>
        </w:tc>
        <w:tc>
          <w:tcPr>
            <w:tcW w:w="986" w:type="dxa"/>
          </w:tcPr>
          <w:p w:rsidR="002C55F6" w:rsidRPr="00855A0C" w:rsidRDefault="002C55F6" w:rsidP="00E50A19">
            <w:pPr>
              <w:jc w:val="right"/>
              <w:rPr>
                <w:rFonts w:ascii="Arial" w:hAnsi="Arial" w:cs="Arial"/>
                <w:sz w:val="18"/>
                <w:lang w:val="fr-FR"/>
              </w:rPr>
            </w:pPr>
            <w:r w:rsidRPr="00855A0C">
              <w:rPr>
                <w:rFonts w:ascii="Arial" w:hAnsi="Arial" w:cs="Arial"/>
                <w:sz w:val="18"/>
                <w:lang w:val="fr-FR"/>
              </w:rPr>
              <w:t xml:space="preserve">15% </w:t>
            </w:r>
          </w:p>
        </w:tc>
        <w:tc>
          <w:tcPr>
            <w:tcW w:w="305" w:type="dxa"/>
            <w:shd w:val="clear" w:color="auto" w:fill="auto"/>
          </w:tcPr>
          <w:p w:rsidR="002C55F6" w:rsidRPr="00855A0C" w:rsidRDefault="002C55F6" w:rsidP="00E50A19">
            <w:pPr>
              <w:jc w:val="both"/>
              <w:rPr>
                <w:rFonts w:ascii="Arial" w:hAnsi="Arial" w:cs="Arial"/>
                <w:sz w:val="18"/>
                <w:lang w:val="fr-FR"/>
              </w:rPr>
            </w:pPr>
          </w:p>
        </w:tc>
        <w:tc>
          <w:tcPr>
            <w:tcW w:w="305" w:type="dxa"/>
            <w:shd w:val="clear" w:color="auto" w:fill="F2F2F2" w:themeFill="background1" w:themeFillShade="F2"/>
          </w:tcPr>
          <w:p w:rsidR="002C55F6" w:rsidRPr="00855A0C" w:rsidRDefault="002C55F6" w:rsidP="00E50A19">
            <w:pPr>
              <w:jc w:val="both"/>
              <w:rPr>
                <w:rFonts w:ascii="Arial" w:hAnsi="Arial" w:cs="Arial"/>
                <w:sz w:val="18"/>
                <w:lang w:val="fr-FR"/>
              </w:rPr>
            </w:pPr>
          </w:p>
        </w:tc>
        <w:tc>
          <w:tcPr>
            <w:tcW w:w="305" w:type="dxa"/>
            <w:shd w:val="clear" w:color="auto" w:fill="D9D9D9" w:themeFill="background1" w:themeFillShade="D9"/>
          </w:tcPr>
          <w:p w:rsidR="002C55F6" w:rsidRPr="00855A0C" w:rsidRDefault="002C55F6" w:rsidP="00E50A19">
            <w:pPr>
              <w:jc w:val="both"/>
              <w:rPr>
                <w:rFonts w:ascii="Arial" w:hAnsi="Arial" w:cs="Arial"/>
                <w:sz w:val="18"/>
                <w:lang w:val="fr-FR"/>
              </w:rPr>
            </w:pPr>
          </w:p>
        </w:tc>
        <w:tc>
          <w:tcPr>
            <w:tcW w:w="305" w:type="dxa"/>
            <w:shd w:val="clear" w:color="auto" w:fill="D9D9D9" w:themeFill="background1" w:themeFillShade="D9"/>
          </w:tcPr>
          <w:p w:rsidR="002C55F6" w:rsidRPr="00855A0C" w:rsidRDefault="002C55F6" w:rsidP="00E50A19">
            <w:pPr>
              <w:jc w:val="both"/>
              <w:rPr>
                <w:rFonts w:ascii="Arial" w:hAnsi="Arial" w:cs="Arial"/>
                <w:sz w:val="18"/>
                <w:lang w:val="fr-FR"/>
              </w:rPr>
            </w:pPr>
          </w:p>
        </w:tc>
        <w:tc>
          <w:tcPr>
            <w:tcW w:w="305" w:type="dxa"/>
            <w:shd w:val="clear" w:color="auto" w:fill="D9D9D9" w:themeFill="background1" w:themeFillShade="D9"/>
          </w:tcPr>
          <w:p w:rsidR="002C55F6" w:rsidRPr="00855A0C" w:rsidRDefault="002C55F6" w:rsidP="00E50A19">
            <w:pPr>
              <w:jc w:val="both"/>
              <w:rPr>
                <w:rFonts w:ascii="Arial" w:hAnsi="Arial" w:cs="Arial"/>
                <w:sz w:val="18"/>
                <w:lang w:val="fr-FR"/>
              </w:rPr>
            </w:pPr>
          </w:p>
        </w:tc>
        <w:tc>
          <w:tcPr>
            <w:tcW w:w="305" w:type="dxa"/>
            <w:shd w:val="clear" w:color="auto" w:fill="BFBFBF" w:themeFill="background1" w:themeFillShade="BF"/>
          </w:tcPr>
          <w:p w:rsidR="002C55F6" w:rsidRPr="00855A0C" w:rsidRDefault="002C55F6" w:rsidP="00E50A19">
            <w:pPr>
              <w:jc w:val="both"/>
              <w:rPr>
                <w:rFonts w:ascii="Arial" w:hAnsi="Arial" w:cs="Arial"/>
                <w:sz w:val="18"/>
                <w:lang w:val="fr-FR"/>
              </w:rPr>
            </w:pPr>
          </w:p>
        </w:tc>
        <w:tc>
          <w:tcPr>
            <w:tcW w:w="305" w:type="dxa"/>
            <w:shd w:val="clear" w:color="auto" w:fill="BFBFBF" w:themeFill="background1" w:themeFillShade="BF"/>
          </w:tcPr>
          <w:p w:rsidR="002C55F6" w:rsidRPr="00855A0C" w:rsidRDefault="002C55F6" w:rsidP="00E50A19">
            <w:pPr>
              <w:jc w:val="both"/>
              <w:rPr>
                <w:rFonts w:ascii="Arial" w:hAnsi="Arial" w:cs="Arial"/>
                <w:sz w:val="18"/>
                <w:lang w:val="fr-FR"/>
              </w:rPr>
            </w:pPr>
          </w:p>
        </w:tc>
        <w:tc>
          <w:tcPr>
            <w:tcW w:w="305" w:type="dxa"/>
            <w:shd w:val="clear" w:color="auto" w:fill="BFBFBF" w:themeFill="background1" w:themeFillShade="BF"/>
          </w:tcPr>
          <w:p w:rsidR="002C55F6" w:rsidRPr="00855A0C" w:rsidRDefault="002C55F6" w:rsidP="00E50A19">
            <w:pPr>
              <w:jc w:val="both"/>
              <w:rPr>
                <w:rFonts w:ascii="Arial" w:hAnsi="Arial" w:cs="Arial"/>
                <w:sz w:val="18"/>
                <w:lang w:val="fr-FR"/>
              </w:rPr>
            </w:pPr>
          </w:p>
        </w:tc>
        <w:tc>
          <w:tcPr>
            <w:tcW w:w="305" w:type="dxa"/>
            <w:shd w:val="clear" w:color="auto" w:fill="BFBFBF" w:themeFill="background1" w:themeFillShade="BF"/>
          </w:tcPr>
          <w:p w:rsidR="002C55F6" w:rsidRPr="00855A0C" w:rsidRDefault="002C55F6" w:rsidP="00E50A19">
            <w:pPr>
              <w:jc w:val="both"/>
              <w:rPr>
                <w:rFonts w:ascii="Arial" w:hAnsi="Arial" w:cs="Arial"/>
                <w:sz w:val="18"/>
                <w:lang w:val="fr-FR"/>
              </w:rPr>
            </w:pPr>
          </w:p>
        </w:tc>
        <w:tc>
          <w:tcPr>
            <w:tcW w:w="394" w:type="dxa"/>
            <w:shd w:val="clear" w:color="auto" w:fill="A6A6A6" w:themeFill="background1" w:themeFillShade="A6"/>
          </w:tcPr>
          <w:p w:rsidR="002C55F6" w:rsidRPr="00855A0C" w:rsidRDefault="002C55F6" w:rsidP="00E50A19">
            <w:pPr>
              <w:jc w:val="both"/>
              <w:rPr>
                <w:rFonts w:ascii="Arial" w:hAnsi="Arial" w:cs="Arial"/>
                <w:sz w:val="18"/>
                <w:lang w:val="fr-FR"/>
              </w:rPr>
            </w:pPr>
          </w:p>
        </w:tc>
        <w:tc>
          <w:tcPr>
            <w:tcW w:w="394" w:type="dxa"/>
            <w:shd w:val="clear" w:color="auto" w:fill="A6A6A6" w:themeFill="background1" w:themeFillShade="A6"/>
          </w:tcPr>
          <w:p w:rsidR="002C55F6" w:rsidRPr="00855A0C" w:rsidRDefault="002C55F6" w:rsidP="00E50A19">
            <w:pPr>
              <w:jc w:val="both"/>
              <w:rPr>
                <w:rFonts w:ascii="Arial" w:hAnsi="Arial" w:cs="Arial"/>
                <w:sz w:val="18"/>
                <w:lang w:val="fr-FR"/>
              </w:rPr>
            </w:pPr>
          </w:p>
        </w:tc>
        <w:tc>
          <w:tcPr>
            <w:tcW w:w="394" w:type="dxa"/>
            <w:shd w:val="clear" w:color="auto" w:fill="A6A6A6" w:themeFill="background1" w:themeFillShade="A6"/>
          </w:tcPr>
          <w:p w:rsidR="002C55F6" w:rsidRPr="00855A0C" w:rsidRDefault="002C55F6" w:rsidP="00E50A19">
            <w:pPr>
              <w:jc w:val="both"/>
              <w:rPr>
                <w:rFonts w:ascii="Arial" w:hAnsi="Arial" w:cs="Arial"/>
                <w:sz w:val="18"/>
                <w:lang w:val="fr-FR"/>
              </w:rPr>
            </w:pPr>
          </w:p>
        </w:tc>
      </w:tr>
    </w:tbl>
    <w:p w:rsidR="002C55F6" w:rsidRPr="00855A0C" w:rsidRDefault="002C55F6" w:rsidP="002C55F6">
      <w:pPr>
        <w:jc w:val="both"/>
        <w:rPr>
          <w:rFonts w:ascii="Arial" w:hAnsi="Arial" w:cs="Arial"/>
          <w:sz w:val="20"/>
        </w:rPr>
      </w:pPr>
    </w:p>
    <w:p w:rsidR="002C55F6" w:rsidRPr="00855A0C" w:rsidRDefault="002C55F6" w:rsidP="002C55F6">
      <w:pPr>
        <w:pStyle w:val="Paragraphedeliste"/>
        <w:numPr>
          <w:ilvl w:val="0"/>
          <w:numId w:val="1"/>
        </w:numPr>
        <w:pBdr>
          <w:bottom w:val="single" w:sz="4" w:space="1" w:color="auto"/>
        </w:pBdr>
        <w:rPr>
          <w:rFonts w:ascii="Arial" w:hAnsi="Arial" w:cs="Arial"/>
          <w:b/>
          <w:smallCaps/>
          <w:sz w:val="20"/>
          <w:lang w:val="fr-FR"/>
        </w:rPr>
      </w:pPr>
      <w:r w:rsidRPr="00855A0C">
        <w:rPr>
          <w:rFonts w:ascii="Arial" w:hAnsi="Arial" w:cs="Arial"/>
          <w:b/>
          <w:smallCaps/>
          <w:sz w:val="20"/>
          <w:lang w:val="fr-FR"/>
        </w:rPr>
        <w:t xml:space="preserve">Qualification du consultant recherché pour la mission </w:t>
      </w:r>
    </w:p>
    <w:p w:rsidR="002C55F6" w:rsidRPr="00855A0C" w:rsidRDefault="002C55F6" w:rsidP="002C55F6">
      <w:pPr>
        <w:jc w:val="both"/>
        <w:rPr>
          <w:rFonts w:ascii="Arial" w:hAnsi="Arial" w:cs="Arial"/>
          <w:sz w:val="20"/>
        </w:rPr>
      </w:pPr>
    </w:p>
    <w:p w:rsidR="002C55F6" w:rsidRPr="00855A0C" w:rsidRDefault="002C55F6" w:rsidP="002C55F6">
      <w:pPr>
        <w:ind w:firstLine="720"/>
        <w:jc w:val="both"/>
        <w:rPr>
          <w:rFonts w:ascii="Arial" w:hAnsi="Arial" w:cs="Arial"/>
          <w:sz w:val="20"/>
        </w:rPr>
      </w:pPr>
      <w:r w:rsidRPr="00855A0C">
        <w:rPr>
          <w:rFonts w:ascii="Arial" w:hAnsi="Arial" w:cs="Arial"/>
          <w:b/>
          <w:sz w:val="20"/>
        </w:rPr>
        <w:t xml:space="preserve">L’Assistant Technique </w:t>
      </w:r>
      <w:r w:rsidRPr="00855A0C">
        <w:rPr>
          <w:rFonts w:ascii="Arial" w:hAnsi="Arial" w:cs="Arial"/>
          <w:sz w:val="20"/>
        </w:rPr>
        <w:t xml:space="preserve">aura au moins 20 ans d'expérience dans le secteur de l'énergie et justifiera d’une solide expérience dans l’élaboration et la mise en œuvre des politiques publiques / réformes sectorielles dans le domaine de l’électricité. Il justifiera d’une solide expérience dans la conduite de réformes dans un cadre interministériel, ainsi que d’une compréhension fine des relations entre parties prenantes aux secteurs, en particulier les sociétés nationales d’électricité et le secteur privé. D’une formation d’ingénieur ou d’économiste/financier, il aura une expérience significative dans la planification sectorielle (acquise au sein d’un ministère, d’une société d’électricité et/ou d’un cabinet de d’ingénierie conseil) et entrepris des missions similaires dans des pays en développement, y compris dans la région. Le consultant doit avoir une excellente maitrise </w:t>
      </w:r>
      <w:r w:rsidR="00EC46AB">
        <w:rPr>
          <w:rFonts w:ascii="Arial" w:hAnsi="Arial" w:cs="Arial"/>
          <w:sz w:val="20"/>
        </w:rPr>
        <w:t xml:space="preserve">du </w:t>
      </w:r>
      <w:r w:rsidRPr="00855A0C">
        <w:rPr>
          <w:rFonts w:ascii="Arial" w:hAnsi="Arial" w:cs="Arial"/>
          <w:sz w:val="20"/>
        </w:rPr>
        <w:t xml:space="preserve">français. </w:t>
      </w:r>
    </w:p>
    <w:p w:rsidR="002C55F6" w:rsidRPr="00855A0C" w:rsidRDefault="002C55F6" w:rsidP="002C55F6">
      <w:pPr>
        <w:pStyle w:val="Sansinterligne"/>
        <w:jc w:val="both"/>
        <w:rPr>
          <w:rFonts w:ascii="Arial" w:hAnsi="Arial" w:cs="Arial"/>
          <w:sz w:val="20"/>
          <w:szCs w:val="20"/>
          <w:lang w:val="fr-FR"/>
        </w:rPr>
      </w:pPr>
    </w:p>
    <w:p w:rsidR="002C55F6" w:rsidRPr="00855A0C" w:rsidRDefault="002C55F6" w:rsidP="002C55F6">
      <w:pPr>
        <w:pStyle w:val="Paragraphedeliste"/>
        <w:numPr>
          <w:ilvl w:val="0"/>
          <w:numId w:val="1"/>
        </w:numPr>
        <w:pBdr>
          <w:bottom w:val="single" w:sz="4" w:space="1" w:color="auto"/>
        </w:pBdr>
        <w:rPr>
          <w:rFonts w:ascii="Arial" w:eastAsia="Times New Roman" w:hAnsi="Arial" w:cs="Arial"/>
          <w:b/>
          <w:sz w:val="20"/>
          <w:lang w:val="fr-FR"/>
        </w:rPr>
      </w:pPr>
      <w:r w:rsidRPr="00855A0C">
        <w:rPr>
          <w:rFonts w:ascii="Arial" w:hAnsi="Arial" w:cs="Arial"/>
          <w:b/>
          <w:smallCaps/>
          <w:sz w:val="20"/>
          <w:lang w:val="fr-FR"/>
        </w:rPr>
        <w:t xml:space="preserve">Documents mis à disposition </w:t>
      </w:r>
    </w:p>
    <w:p w:rsidR="002C55F6" w:rsidRPr="00855A0C" w:rsidRDefault="002C55F6" w:rsidP="002C55F6">
      <w:pPr>
        <w:pStyle w:val="Paragraphedeliste"/>
        <w:ind w:left="1080"/>
        <w:jc w:val="both"/>
        <w:rPr>
          <w:rFonts w:ascii="Arial" w:eastAsia="Times New Roman" w:hAnsi="Arial" w:cs="Arial"/>
          <w:i/>
          <w:sz w:val="20"/>
          <w:lang w:val="fr-FR"/>
        </w:rPr>
      </w:pPr>
    </w:p>
    <w:p w:rsidR="002C55F6" w:rsidRPr="00855A0C" w:rsidRDefault="002C55F6" w:rsidP="002C55F6">
      <w:pPr>
        <w:pStyle w:val="Paragraphedeliste"/>
        <w:numPr>
          <w:ilvl w:val="0"/>
          <w:numId w:val="2"/>
        </w:numPr>
        <w:jc w:val="both"/>
        <w:rPr>
          <w:rFonts w:ascii="Arial" w:eastAsia="Times New Roman" w:hAnsi="Arial" w:cs="Arial"/>
          <w:i/>
          <w:sz w:val="20"/>
          <w:lang w:val="fr-FR"/>
        </w:rPr>
      </w:pPr>
      <w:r w:rsidRPr="00855A0C">
        <w:rPr>
          <w:rFonts w:ascii="Arial" w:eastAsia="Times New Roman" w:hAnsi="Arial" w:cs="Arial"/>
          <w:i/>
          <w:sz w:val="20"/>
          <w:lang w:val="fr-FR"/>
        </w:rPr>
        <w:t>Loi 036 relative au Secteur de l’Énergie Électrique au Tchad</w:t>
      </w:r>
    </w:p>
    <w:p w:rsidR="002C55F6" w:rsidRPr="00855A0C" w:rsidRDefault="002C55F6" w:rsidP="002C55F6">
      <w:pPr>
        <w:pStyle w:val="Paragraphedeliste"/>
        <w:numPr>
          <w:ilvl w:val="0"/>
          <w:numId w:val="2"/>
        </w:numPr>
        <w:jc w:val="both"/>
        <w:rPr>
          <w:rFonts w:ascii="Arial" w:eastAsia="Times New Roman" w:hAnsi="Arial" w:cs="Arial"/>
          <w:i/>
          <w:sz w:val="20"/>
          <w:lang w:val="fr-FR"/>
        </w:rPr>
      </w:pPr>
      <w:r w:rsidRPr="00855A0C">
        <w:rPr>
          <w:rFonts w:ascii="Arial" w:eastAsia="Times New Roman" w:hAnsi="Arial" w:cs="Arial"/>
          <w:i/>
          <w:sz w:val="20"/>
          <w:lang w:val="fr-FR"/>
        </w:rPr>
        <w:t>Décrets 1839, 1840, 1841, 1842, 1843 ;</w:t>
      </w:r>
    </w:p>
    <w:p w:rsidR="002C55F6" w:rsidRPr="00855A0C" w:rsidRDefault="002C55F6" w:rsidP="002C55F6">
      <w:pPr>
        <w:pStyle w:val="Paragraphedeliste"/>
        <w:numPr>
          <w:ilvl w:val="0"/>
          <w:numId w:val="2"/>
        </w:numPr>
        <w:jc w:val="both"/>
        <w:rPr>
          <w:rFonts w:ascii="Arial" w:eastAsia="Times New Roman" w:hAnsi="Arial" w:cs="Arial"/>
          <w:i/>
          <w:sz w:val="20"/>
          <w:lang w:val="fr-FR"/>
        </w:rPr>
      </w:pPr>
      <w:r w:rsidRPr="00855A0C">
        <w:rPr>
          <w:rFonts w:ascii="Arial" w:eastAsia="Times New Roman" w:hAnsi="Arial" w:cs="Arial"/>
          <w:i/>
          <w:sz w:val="20"/>
          <w:lang w:val="fr-FR"/>
        </w:rPr>
        <w:t>Décret 1638 du 03 octobre 2018 portant adoption de la Lettre de Politique Énergétique 2018-2030</w:t>
      </w:r>
    </w:p>
    <w:p w:rsidR="002C55F6" w:rsidRPr="00855A0C" w:rsidRDefault="002C55F6" w:rsidP="002C55F6">
      <w:pPr>
        <w:pStyle w:val="Paragraphedeliste"/>
        <w:numPr>
          <w:ilvl w:val="0"/>
          <w:numId w:val="2"/>
        </w:numPr>
        <w:jc w:val="both"/>
        <w:rPr>
          <w:rFonts w:ascii="Arial" w:eastAsia="Times New Roman" w:hAnsi="Arial" w:cs="Arial"/>
          <w:sz w:val="20"/>
        </w:rPr>
      </w:pPr>
      <w:r w:rsidRPr="00855A0C">
        <w:rPr>
          <w:rFonts w:ascii="Arial" w:eastAsia="Times New Roman" w:hAnsi="Arial" w:cs="Arial"/>
          <w:sz w:val="20"/>
        </w:rPr>
        <w:t>Banque Mondiale</w:t>
      </w:r>
      <w:r w:rsidRPr="00855A0C">
        <w:rPr>
          <w:rFonts w:ascii="Arial" w:eastAsia="Times New Roman" w:hAnsi="Arial" w:cs="Arial"/>
          <w:i/>
          <w:sz w:val="20"/>
        </w:rPr>
        <w:t xml:space="preserve">, Chad Power Sector Note, </w:t>
      </w:r>
      <w:r w:rsidRPr="00855A0C">
        <w:rPr>
          <w:rFonts w:ascii="Arial" w:eastAsia="Times New Roman" w:hAnsi="Arial" w:cs="Arial"/>
          <w:sz w:val="20"/>
        </w:rPr>
        <w:t>June 2018</w:t>
      </w:r>
    </w:p>
    <w:p w:rsidR="002C55F6" w:rsidRPr="00855A0C" w:rsidRDefault="002C55F6" w:rsidP="002C55F6">
      <w:pPr>
        <w:pStyle w:val="Paragraphedeliste"/>
        <w:numPr>
          <w:ilvl w:val="0"/>
          <w:numId w:val="2"/>
        </w:numPr>
        <w:jc w:val="both"/>
        <w:rPr>
          <w:rFonts w:ascii="Arial" w:eastAsia="Times New Roman" w:hAnsi="Arial" w:cs="Arial"/>
          <w:i/>
          <w:sz w:val="20"/>
          <w:lang w:val="fr-FR"/>
        </w:rPr>
      </w:pPr>
      <w:r w:rsidRPr="00855A0C">
        <w:rPr>
          <w:rFonts w:ascii="Arial" w:eastAsia="Times New Roman" w:hAnsi="Arial" w:cs="Arial"/>
          <w:sz w:val="20"/>
          <w:lang w:val="fr-FR"/>
        </w:rPr>
        <w:t>Fichtner</w:t>
      </w:r>
      <w:r w:rsidRPr="00855A0C">
        <w:rPr>
          <w:rFonts w:ascii="Arial" w:eastAsia="Times New Roman" w:hAnsi="Arial" w:cs="Arial"/>
          <w:i/>
          <w:sz w:val="20"/>
          <w:lang w:val="fr-FR"/>
        </w:rPr>
        <w:t xml:space="preserve">, Schéma Directeur du secteur de l’Énergie au Tchad, </w:t>
      </w:r>
      <w:r w:rsidRPr="00855A0C">
        <w:rPr>
          <w:rFonts w:ascii="Arial" w:eastAsia="Times New Roman" w:hAnsi="Arial" w:cs="Arial"/>
          <w:sz w:val="20"/>
          <w:lang w:val="fr-FR"/>
        </w:rPr>
        <w:t>2012</w:t>
      </w:r>
    </w:p>
    <w:p w:rsidR="002C55F6" w:rsidRPr="00855A0C" w:rsidRDefault="002C55F6" w:rsidP="002C55F6">
      <w:pPr>
        <w:pStyle w:val="Paragraphedeliste"/>
        <w:numPr>
          <w:ilvl w:val="0"/>
          <w:numId w:val="2"/>
        </w:numPr>
        <w:jc w:val="both"/>
        <w:rPr>
          <w:rFonts w:ascii="Arial" w:eastAsia="Times New Roman" w:hAnsi="Arial" w:cs="Arial"/>
          <w:i/>
          <w:sz w:val="20"/>
          <w:lang w:val="fr-FR"/>
        </w:rPr>
      </w:pPr>
      <w:r w:rsidRPr="00855A0C">
        <w:rPr>
          <w:rFonts w:ascii="Arial" w:eastAsia="Times New Roman" w:hAnsi="Arial" w:cs="Arial"/>
          <w:sz w:val="20"/>
          <w:lang w:val="fr-FR"/>
        </w:rPr>
        <w:lastRenderedPageBreak/>
        <w:t>AETC,</w:t>
      </w:r>
      <w:r w:rsidRPr="00855A0C">
        <w:rPr>
          <w:rFonts w:ascii="Arial" w:eastAsia="Times New Roman" w:hAnsi="Arial" w:cs="Arial"/>
          <w:i/>
          <w:sz w:val="20"/>
          <w:lang w:val="fr-FR"/>
        </w:rPr>
        <w:t xml:space="preserve"> diagnostic technique du fonctionnement du système électrique et évaluation des besoins de renforcement et de modernisation, </w:t>
      </w:r>
      <w:r w:rsidRPr="00855A0C">
        <w:rPr>
          <w:rFonts w:ascii="Arial" w:eastAsia="Times New Roman" w:hAnsi="Arial" w:cs="Arial"/>
          <w:sz w:val="20"/>
          <w:lang w:val="fr-FR"/>
        </w:rPr>
        <w:t>mars 2018</w:t>
      </w:r>
    </w:p>
    <w:p w:rsidR="002C55F6" w:rsidRPr="00855A0C" w:rsidRDefault="002C55F6" w:rsidP="002C55F6">
      <w:pPr>
        <w:pStyle w:val="Paragraphedeliste"/>
        <w:numPr>
          <w:ilvl w:val="0"/>
          <w:numId w:val="2"/>
        </w:numPr>
        <w:jc w:val="both"/>
        <w:rPr>
          <w:rFonts w:ascii="Arial" w:eastAsia="Times New Roman" w:hAnsi="Arial" w:cs="Arial"/>
          <w:i/>
          <w:sz w:val="20"/>
          <w:lang w:val="fr-FR"/>
        </w:rPr>
      </w:pPr>
      <w:r w:rsidRPr="00855A0C">
        <w:rPr>
          <w:rFonts w:ascii="Arial" w:eastAsia="Times New Roman" w:hAnsi="Arial" w:cs="Arial"/>
          <w:i/>
          <w:sz w:val="20"/>
          <w:lang w:val="fr-FR"/>
        </w:rPr>
        <w:t xml:space="preserve">ICEA, Diagnostic institutionnel, organisationnel et financier et plan d’actions d’amélioration, </w:t>
      </w:r>
      <w:r w:rsidRPr="00855A0C">
        <w:rPr>
          <w:rFonts w:ascii="Arial" w:eastAsia="Times New Roman" w:hAnsi="Arial" w:cs="Arial"/>
          <w:sz w:val="20"/>
          <w:lang w:val="fr-FR"/>
        </w:rPr>
        <w:t>mars 2018</w:t>
      </w:r>
    </w:p>
    <w:p w:rsidR="002C55F6" w:rsidRPr="00855A0C" w:rsidRDefault="002C55F6" w:rsidP="002C55F6">
      <w:pPr>
        <w:pStyle w:val="Paragraphedeliste"/>
        <w:numPr>
          <w:ilvl w:val="0"/>
          <w:numId w:val="2"/>
        </w:numPr>
        <w:jc w:val="both"/>
        <w:rPr>
          <w:rFonts w:ascii="Arial" w:eastAsia="Times New Roman" w:hAnsi="Arial" w:cs="Arial"/>
          <w:i/>
          <w:sz w:val="20"/>
          <w:lang w:val="fr-FR"/>
        </w:rPr>
      </w:pPr>
      <w:r w:rsidRPr="00855A0C">
        <w:rPr>
          <w:rFonts w:ascii="Arial" w:eastAsia="Times New Roman" w:hAnsi="Arial" w:cs="Arial"/>
          <w:sz w:val="20"/>
          <w:lang w:val="fr-FR"/>
        </w:rPr>
        <w:t>Banque Mondiale</w:t>
      </w:r>
      <w:r w:rsidRPr="00855A0C">
        <w:rPr>
          <w:rFonts w:ascii="Arial" w:eastAsia="Times New Roman" w:hAnsi="Arial" w:cs="Arial"/>
          <w:i/>
          <w:sz w:val="20"/>
          <w:lang w:val="fr-FR"/>
        </w:rPr>
        <w:t xml:space="preserve">, Plan d’amélioration de la performance de la SNE, </w:t>
      </w:r>
      <w:r w:rsidRPr="00855A0C">
        <w:rPr>
          <w:rFonts w:ascii="Arial" w:eastAsia="Times New Roman" w:hAnsi="Arial" w:cs="Arial"/>
          <w:sz w:val="20"/>
          <w:lang w:val="fr-FR"/>
        </w:rPr>
        <w:t>Septembre 2019</w:t>
      </w:r>
    </w:p>
    <w:p w:rsidR="002C55F6" w:rsidRPr="00855A0C" w:rsidRDefault="002C55F6" w:rsidP="002C55F6">
      <w:pPr>
        <w:pStyle w:val="Paragraphedeliste"/>
        <w:numPr>
          <w:ilvl w:val="0"/>
          <w:numId w:val="2"/>
        </w:numPr>
        <w:jc w:val="both"/>
        <w:rPr>
          <w:rFonts w:ascii="Arial" w:eastAsia="Times New Roman" w:hAnsi="Arial" w:cs="Arial"/>
          <w:i/>
          <w:sz w:val="20"/>
          <w:lang w:val="fr-FR"/>
        </w:rPr>
      </w:pPr>
      <w:r w:rsidRPr="00855A0C">
        <w:rPr>
          <w:rFonts w:ascii="Arial" w:eastAsia="Times New Roman" w:hAnsi="Arial" w:cs="Arial"/>
          <w:sz w:val="20"/>
          <w:lang w:val="fr-FR"/>
        </w:rPr>
        <w:t>SNE</w:t>
      </w:r>
      <w:r w:rsidRPr="00855A0C">
        <w:rPr>
          <w:rFonts w:ascii="Arial" w:eastAsia="Times New Roman" w:hAnsi="Arial" w:cs="Arial"/>
          <w:i/>
          <w:sz w:val="20"/>
          <w:lang w:val="fr-FR"/>
        </w:rPr>
        <w:t xml:space="preserve">, Rapport de gestion, </w:t>
      </w:r>
      <w:r w:rsidRPr="00855A0C">
        <w:rPr>
          <w:rFonts w:ascii="Arial" w:eastAsia="Times New Roman" w:hAnsi="Arial" w:cs="Arial"/>
          <w:sz w:val="20"/>
          <w:lang w:val="fr-FR"/>
        </w:rPr>
        <w:t>2015-2019</w:t>
      </w:r>
    </w:p>
    <w:p w:rsidR="002C55F6" w:rsidRPr="00855A0C" w:rsidRDefault="002C55F6" w:rsidP="002C55F6">
      <w:pPr>
        <w:pStyle w:val="Paragraphedeliste"/>
        <w:numPr>
          <w:ilvl w:val="0"/>
          <w:numId w:val="2"/>
        </w:numPr>
        <w:jc w:val="both"/>
        <w:rPr>
          <w:rFonts w:ascii="Arial" w:eastAsia="Times New Roman" w:hAnsi="Arial" w:cs="Arial"/>
          <w:i/>
          <w:sz w:val="20"/>
          <w:lang w:val="fr-FR"/>
        </w:rPr>
      </w:pPr>
      <w:r w:rsidRPr="00855A0C">
        <w:rPr>
          <w:rFonts w:ascii="Arial" w:eastAsia="Times New Roman" w:hAnsi="Arial" w:cs="Arial"/>
          <w:sz w:val="20"/>
          <w:lang w:val="fr-FR"/>
        </w:rPr>
        <w:t>SNE</w:t>
      </w:r>
      <w:r w:rsidRPr="00855A0C">
        <w:rPr>
          <w:rFonts w:ascii="Arial" w:eastAsia="Times New Roman" w:hAnsi="Arial" w:cs="Arial"/>
          <w:i/>
          <w:sz w:val="20"/>
          <w:lang w:val="fr-FR"/>
        </w:rPr>
        <w:t xml:space="preserve">, Rapport financier, </w:t>
      </w:r>
      <w:r w:rsidRPr="00855A0C">
        <w:rPr>
          <w:rFonts w:ascii="Arial" w:eastAsia="Times New Roman" w:hAnsi="Arial" w:cs="Arial"/>
          <w:sz w:val="20"/>
          <w:lang w:val="fr-FR"/>
        </w:rPr>
        <w:t>2015-2019</w:t>
      </w:r>
    </w:p>
    <w:p w:rsidR="002C55F6" w:rsidRPr="00855A0C" w:rsidRDefault="002C55F6" w:rsidP="002C55F6">
      <w:pPr>
        <w:jc w:val="both"/>
      </w:pPr>
      <w:r w:rsidRPr="002C55F6">
        <w:rPr>
          <w:rFonts w:ascii="Arial" w:hAnsi="Arial" w:cs="Arial"/>
          <w:b/>
          <w:i/>
          <w:sz w:val="20"/>
        </w:rPr>
        <w:t>V. Les livrables</w:t>
      </w:r>
      <w:r>
        <w:rPr>
          <w:rFonts w:ascii="Arial" w:hAnsi="Arial" w:cs="Arial"/>
          <w:i/>
          <w:sz w:val="20"/>
        </w:rPr>
        <w:t> :</w:t>
      </w:r>
    </w:p>
    <w:p w:rsidR="002C55F6" w:rsidRPr="00855A0C" w:rsidRDefault="002C55F6" w:rsidP="002C55F6">
      <w:pPr>
        <w:pStyle w:val="Default"/>
        <w:jc w:val="both"/>
        <w:rPr>
          <w:rFonts w:ascii="Arial" w:eastAsia="Times New Roman" w:hAnsi="Arial" w:cs="Arial"/>
          <w:i/>
          <w:sz w:val="20"/>
        </w:rPr>
      </w:pPr>
      <w:r w:rsidRPr="00855A0C">
        <w:rPr>
          <w:rFonts w:ascii="Arial" w:hAnsi="Arial" w:cs="Arial"/>
          <w:color w:val="auto"/>
          <w:sz w:val="22"/>
          <w:szCs w:val="22"/>
        </w:rPr>
        <w:t xml:space="preserve">Le livrable final de la mission du Consultant sera la production d’un cahier de charges pour la réalisation des projets et tout particulièrement l’établissement d’un </w:t>
      </w:r>
      <w:r w:rsidRPr="00855A0C">
        <w:rPr>
          <w:rFonts w:ascii="Arial" w:hAnsi="Arial" w:cs="Arial"/>
          <w:color w:val="auto"/>
          <w:sz w:val="20"/>
          <w:szCs w:val="20"/>
        </w:rPr>
        <w:t xml:space="preserve">schéma directeur production, transport et distribution, plan d’électrification rurale, etc.), opérationnels (par ex. plan d’amélioration de la performance de la SNE) </w:t>
      </w:r>
      <w:r w:rsidRPr="00855A0C">
        <w:rPr>
          <w:rFonts w:ascii="Arial" w:hAnsi="Arial" w:cs="Arial"/>
          <w:color w:val="auto"/>
          <w:sz w:val="22"/>
          <w:szCs w:val="22"/>
        </w:rPr>
        <w:t>sélectionné dans un contexte d’appel à l’inv</w:t>
      </w:r>
      <w:r>
        <w:rPr>
          <w:rFonts w:ascii="Arial" w:hAnsi="Arial" w:cs="Arial"/>
          <w:color w:val="auto"/>
          <w:sz w:val="22"/>
          <w:szCs w:val="22"/>
        </w:rPr>
        <w:t>estissement privé (PPP ou IPP).</w:t>
      </w:r>
    </w:p>
    <w:p w:rsidR="002C55F6" w:rsidRDefault="002C55F6" w:rsidP="002C55F6"/>
    <w:p w:rsidR="002C55F6" w:rsidRDefault="002C55F6" w:rsidP="002C55F6">
      <w:pPr>
        <w:jc w:val="center"/>
        <w:rPr>
          <w:rFonts w:ascii="Arial" w:hAnsi="Arial" w:cs="Arial"/>
          <w:b/>
          <w:smallCaps/>
          <w:sz w:val="32"/>
          <w:szCs w:val="24"/>
        </w:rPr>
      </w:pPr>
    </w:p>
    <w:p w:rsidR="002C55F6" w:rsidRPr="002C55F6" w:rsidRDefault="002C55F6" w:rsidP="002C55F6">
      <w:pPr>
        <w:tabs>
          <w:tab w:val="left" w:pos="5052"/>
        </w:tabs>
        <w:rPr>
          <w:rFonts w:ascii="Arial" w:hAnsi="Arial" w:cs="Arial"/>
          <w:sz w:val="32"/>
          <w:szCs w:val="24"/>
        </w:rPr>
      </w:pPr>
    </w:p>
    <w:sectPr w:rsidR="002C55F6" w:rsidRPr="002C55F6" w:rsidSect="005E78F6">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C5E" w:rsidRDefault="005C7C5E" w:rsidP="00162F35">
      <w:r>
        <w:separator/>
      </w:r>
    </w:p>
  </w:endnote>
  <w:endnote w:type="continuationSeparator" w:id="1">
    <w:p w:rsidR="005C7C5E" w:rsidRDefault="005C7C5E" w:rsidP="00162F3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old">
    <w:altName w:val="Arial"/>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734537"/>
      <w:docPartObj>
        <w:docPartGallery w:val="Page Numbers (Bottom of Page)"/>
        <w:docPartUnique/>
      </w:docPartObj>
    </w:sdtPr>
    <w:sdtContent>
      <w:p w:rsidR="00162F35" w:rsidRDefault="0040520D">
        <w:pPr>
          <w:pStyle w:val="Pieddepage"/>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2049" type="#_x0000_t65" style="position:absolute;margin-left:0;margin-top:0;width:29pt;height:21.6pt;z-index:251659264;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162F35" w:rsidRDefault="0040520D">
                    <w:pPr>
                      <w:jc w:val="center"/>
                    </w:pPr>
                    <w:r w:rsidRPr="0040520D">
                      <w:rPr>
                        <w:sz w:val="22"/>
                        <w:szCs w:val="22"/>
                      </w:rPr>
                      <w:fldChar w:fldCharType="begin"/>
                    </w:r>
                    <w:r w:rsidR="00162F35">
                      <w:instrText>PAGE    \* MERGEFORMAT</w:instrText>
                    </w:r>
                    <w:r w:rsidRPr="0040520D">
                      <w:rPr>
                        <w:sz w:val="22"/>
                        <w:szCs w:val="22"/>
                      </w:rPr>
                      <w:fldChar w:fldCharType="separate"/>
                    </w:r>
                    <w:r w:rsidR="00EC46AB" w:rsidRPr="00EC46AB">
                      <w:rPr>
                        <w:noProof/>
                        <w:sz w:val="16"/>
                        <w:szCs w:val="16"/>
                      </w:rPr>
                      <w:t>5</w:t>
                    </w:r>
                    <w:r>
                      <w:rPr>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C5E" w:rsidRDefault="005C7C5E" w:rsidP="00162F35">
      <w:r>
        <w:separator/>
      </w:r>
    </w:p>
  </w:footnote>
  <w:footnote w:type="continuationSeparator" w:id="1">
    <w:p w:rsidR="005C7C5E" w:rsidRDefault="005C7C5E" w:rsidP="00162F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7281"/>
    <w:multiLevelType w:val="hybridMultilevel"/>
    <w:tmpl w:val="64489C14"/>
    <w:lvl w:ilvl="0" w:tplc="6AA22B24">
      <w:start w:val="10"/>
      <w:numFmt w:val="bullet"/>
      <w:lvlText w:val="-"/>
      <w:lvlJc w:val="left"/>
      <w:pPr>
        <w:ind w:left="1080" w:hanging="360"/>
      </w:pPr>
      <w:rPr>
        <w:rFonts w:ascii="Arial" w:eastAsiaTheme="minorHAnsi" w:hAnsi="Arial" w:cs="Aria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6AD37A7"/>
    <w:multiLevelType w:val="multilevel"/>
    <w:tmpl w:val="50FAF106"/>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D20A05"/>
    <w:rsid w:val="00162F35"/>
    <w:rsid w:val="001862B1"/>
    <w:rsid w:val="001A1E6A"/>
    <w:rsid w:val="00271857"/>
    <w:rsid w:val="002C55F6"/>
    <w:rsid w:val="0033455C"/>
    <w:rsid w:val="0040520D"/>
    <w:rsid w:val="005C7C5E"/>
    <w:rsid w:val="005E78F6"/>
    <w:rsid w:val="006D6D25"/>
    <w:rsid w:val="006E62E7"/>
    <w:rsid w:val="00724EC0"/>
    <w:rsid w:val="009B18E9"/>
    <w:rsid w:val="00CD48DE"/>
    <w:rsid w:val="00D20A05"/>
    <w:rsid w:val="00EC46AB"/>
    <w:rsid w:val="00ED03F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E7"/>
    <w:pPr>
      <w:spacing w:after="0" w:line="240" w:lineRule="auto"/>
    </w:pPr>
    <w:rPr>
      <w:rFonts w:ascii="Times New Roman" w:eastAsia="Times New Roman" w:hAnsi="Times New Roman" w:cs="Times New Roman"/>
      <w:sz w:val="24"/>
      <w:szCs w:val="20"/>
    </w:rPr>
  </w:style>
  <w:style w:type="paragraph" w:styleId="Titre3">
    <w:name w:val="heading 3"/>
    <w:basedOn w:val="Normal"/>
    <w:link w:val="Titre3Car"/>
    <w:uiPriority w:val="9"/>
    <w:qFormat/>
    <w:rsid w:val="00D20A05"/>
    <w:pPr>
      <w:spacing w:before="100" w:beforeAutospacing="1" w:after="100" w:afterAutospacing="1"/>
      <w:outlineLvl w:val="2"/>
    </w:pPr>
    <w:rPr>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20A05"/>
    <w:rPr>
      <w:rFonts w:ascii="Times New Roman" w:eastAsia="Times New Roman" w:hAnsi="Times New Roman" w:cs="Times New Roman"/>
      <w:b/>
      <w:bCs/>
      <w:sz w:val="27"/>
      <w:szCs w:val="27"/>
      <w:lang w:eastAsia="fr-FR"/>
    </w:rPr>
  </w:style>
  <w:style w:type="character" w:customStyle="1" w:styleId="qu">
    <w:name w:val="qu"/>
    <w:basedOn w:val="Policepardfaut"/>
    <w:rsid w:val="00D20A05"/>
  </w:style>
  <w:style w:type="character" w:customStyle="1" w:styleId="gd">
    <w:name w:val="gd"/>
    <w:basedOn w:val="Policepardfaut"/>
    <w:rsid w:val="00D20A05"/>
  </w:style>
  <w:style w:type="character" w:customStyle="1" w:styleId="go">
    <w:name w:val="go"/>
    <w:basedOn w:val="Policepardfaut"/>
    <w:rsid w:val="00D20A05"/>
  </w:style>
  <w:style w:type="character" w:customStyle="1" w:styleId="g3">
    <w:name w:val="g3"/>
    <w:basedOn w:val="Policepardfaut"/>
    <w:rsid w:val="00D20A05"/>
  </w:style>
  <w:style w:type="character" w:customStyle="1" w:styleId="hb">
    <w:name w:val="hb"/>
    <w:basedOn w:val="Policepardfaut"/>
    <w:rsid w:val="00D20A05"/>
  </w:style>
  <w:style w:type="character" w:customStyle="1" w:styleId="g2">
    <w:name w:val="g2"/>
    <w:basedOn w:val="Policepardfaut"/>
    <w:rsid w:val="00D20A05"/>
  </w:style>
  <w:style w:type="character" w:customStyle="1" w:styleId="il">
    <w:name w:val="il"/>
    <w:basedOn w:val="Policepardfaut"/>
    <w:rsid w:val="00D20A05"/>
  </w:style>
  <w:style w:type="character" w:styleId="Lienhypertexte">
    <w:name w:val="Hyperlink"/>
    <w:basedOn w:val="Policepardfaut"/>
    <w:uiPriority w:val="99"/>
    <w:semiHidden/>
    <w:unhideWhenUsed/>
    <w:rsid w:val="00D20A05"/>
    <w:rPr>
      <w:color w:val="0000FF"/>
      <w:u w:val="single"/>
    </w:rPr>
  </w:style>
  <w:style w:type="paragraph" w:styleId="Textedebulles">
    <w:name w:val="Balloon Text"/>
    <w:basedOn w:val="Normal"/>
    <w:link w:val="TextedebullesCar"/>
    <w:uiPriority w:val="99"/>
    <w:semiHidden/>
    <w:unhideWhenUsed/>
    <w:rsid w:val="00D20A05"/>
    <w:rPr>
      <w:rFonts w:ascii="Tahoma" w:hAnsi="Tahoma" w:cs="Tahoma"/>
      <w:sz w:val="16"/>
      <w:szCs w:val="16"/>
    </w:rPr>
  </w:style>
  <w:style w:type="character" w:customStyle="1" w:styleId="TextedebullesCar">
    <w:name w:val="Texte de bulles Car"/>
    <w:basedOn w:val="Policepardfaut"/>
    <w:link w:val="Textedebulles"/>
    <w:uiPriority w:val="99"/>
    <w:semiHidden/>
    <w:rsid w:val="00D20A05"/>
    <w:rPr>
      <w:rFonts w:ascii="Tahoma" w:hAnsi="Tahoma" w:cs="Tahoma"/>
      <w:sz w:val="16"/>
      <w:szCs w:val="16"/>
    </w:rPr>
  </w:style>
  <w:style w:type="paragraph" w:styleId="Sansinterligne">
    <w:name w:val="No Spacing"/>
    <w:uiPriority w:val="1"/>
    <w:qFormat/>
    <w:rsid w:val="006E62E7"/>
    <w:pPr>
      <w:spacing w:after="0" w:line="240" w:lineRule="auto"/>
    </w:pPr>
    <w:rPr>
      <w:lang w:val="en-US"/>
    </w:rPr>
  </w:style>
  <w:style w:type="paragraph" w:styleId="Paragraphedeliste">
    <w:name w:val="List Paragraph"/>
    <w:aliases w:val="Bullets,References,Liste 1,Numbered List Paragraph,ReferencesCxSpLast,List bullets,List Paragraph1,List Paragraph (numbered (a)),Medium Grid 1 - Accent 21,List Paragraph nowy,List_Paragraph,Multilevel para_II,Ha"/>
    <w:basedOn w:val="Normal"/>
    <w:link w:val="ParagraphedelisteCar"/>
    <w:qFormat/>
    <w:rsid w:val="002C55F6"/>
    <w:pPr>
      <w:spacing w:after="160" w:line="259" w:lineRule="auto"/>
      <w:ind w:left="720"/>
      <w:contextualSpacing/>
    </w:pPr>
    <w:rPr>
      <w:rFonts w:asciiTheme="minorHAnsi" w:eastAsiaTheme="minorHAnsi" w:hAnsiTheme="minorHAnsi" w:cstheme="minorBidi"/>
      <w:sz w:val="22"/>
      <w:szCs w:val="22"/>
      <w:lang w:val="en-US"/>
    </w:rPr>
  </w:style>
  <w:style w:type="table" w:styleId="Grilledutableau">
    <w:name w:val="Table Grid"/>
    <w:basedOn w:val="TableauNormal"/>
    <w:uiPriority w:val="59"/>
    <w:rsid w:val="002C55F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aliases w:val="Bullets Car,References Car,Liste 1 Car,Numbered List Paragraph Car,ReferencesCxSpLast Car,List bullets Car,List Paragraph1 Car,List Paragraph (numbered (a)) Car,Medium Grid 1 - Accent 21 Car,List Paragraph nowy Car,Ha Car"/>
    <w:basedOn w:val="Policepardfaut"/>
    <w:link w:val="Paragraphedeliste"/>
    <w:qFormat/>
    <w:locked/>
    <w:rsid w:val="002C55F6"/>
    <w:rPr>
      <w:lang w:val="en-US"/>
    </w:rPr>
  </w:style>
  <w:style w:type="paragraph" w:styleId="Textebrut">
    <w:name w:val="Plain Text"/>
    <w:basedOn w:val="Normal"/>
    <w:link w:val="TextebrutCar"/>
    <w:uiPriority w:val="99"/>
    <w:unhideWhenUsed/>
    <w:rsid w:val="002C55F6"/>
    <w:rPr>
      <w:rFonts w:ascii="Consolas" w:eastAsia="Calibri" w:hAnsi="Consolas"/>
      <w:sz w:val="21"/>
      <w:szCs w:val="21"/>
    </w:rPr>
  </w:style>
  <w:style w:type="character" w:customStyle="1" w:styleId="TextebrutCar">
    <w:name w:val="Texte brut Car"/>
    <w:basedOn w:val="Policepardfaut"/>
    <w:link w:val="Textebrut"/>
    <w:uiPriority w:val="99"/>
    <w:rsid w:val="002C55F6"/>
    <w:rPr>
      <w:rFonts w:ascii="Consolas" w:eastAsia="Calibri" w:hAnsi="Consolas" w:cs="Times New Roman"/>
      <w:sz w:val="21"/>
      <w:szCs w:val="21"/>
    </w:rPr>
  </w:style>
  <w:style w:type="paragraph" w:customStyle="1" w:styleId="Default">
    <w:name w:val="Default"/>
    <w:rsid w:val="002C55F6"/>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162F35"/>
    <w:pPr>
      <w:tabs>
        <w:tab w:val="center" w:pos="4536"/>
        <w:tab w:val="right" w:pos="9072"/>
      </w:tabs>
    </w:pPr>
  </w:style>
  <w:style w:type="character" w:customStyle="1" w:styleId="En-tteCar">
    <w:name w:val="En-tête Car"/>
    <w:basedOn w:val="Policepardfaut"/>
    <w:link w:val="En-tte"/>
    <w:uiPriority w:val="99"/>
    <w:rsid w:val="00162F35"/>
    <w:rPr>
      <w:rFonts w:ascii="Times New Roman" w:eastAsia="Times New Roman" w:hAnsi="Times New Roman" w:cs="Times New Roman"/>
      <w:sz w:val="24"/>
      <w:szCs w:val="20"/>
    </w:rPr>
  </w:style>
  <w:style w:type="paragraph" w:styleId="Pieddepage">
    <w:name w:val="footer"/>
    <w:basedOn w:val="Normal"/>
    <w:link w:val="PieddepageCar"/>
    <w:uiPriority w:val="99"/>
    <w:unhideWhenUsed/>
    <w:rsid w:val="00162F35"/>
    <w:pPr>
      <w:tabs>
        <w:tab w:val="center" w:pos="4536"/>
        <w:tab w:val="right" w:pos="9072"/>
      </w:tabs>
    </w:pPr>
  </w:style>
  <w:style w:type="character" w:customStyle="1" w:styleId="PieddepageCar">
    <w:name w:val="Pied de page Car"/>
    <w:basedOn w:val="Policepardfaut"/>
    <w:link w:val="Pieddepage"/>
    <w:uiPriority w:val="99"/>
    <w:rsid w:val="00162F3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E7"/>
    <w:pPr>
      <w:spacing w:after="0" w:line="240" w:lineRule="auto"/>
    </w:pPr>
    <w:rPr>
      <w:rFonts w:ascii="Times New Roman" w:eastAsia="Times New Roman" w:hAnsi="Times New Roman" w:cs="Times New Roman"/>
      <w:sz w:val="24"/>
      <w:szCs w:val="20"/>
    </w:rPr>
  </w:style>
  <w:style w:type="paragraph" w:styleId="Titre3">
    <w:name w:val="heading 3"/>
    <w:basedOn w:val="Normal"/>
    <w:link w:val="Titre3Car"/>
    <w:uiPriority w:val="9"/>
    <w:qFormat/>
    <w:rsid w:val="00D20A05"/>
    <w:pPr>
      <w:spacing w:before="100" w:beforeAutospacing="1" w:after="100" w:afterAutospacing="1"/>
      <w:outlineLvl w:val="2"/>
    </w:pPr>
    <w:rPr>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20A05"/>
    <w:rPr>
      <w:rFonts w:ascii="Times New Roman" w:eastAsia="Times New Roman" w:hAnsi="Times New Roman" w:cs="Times New Roman"/>
      <w:b/>
      <w:bCs/>
      <w:sz w:val="27"/>
      <w:szCs w:val="27"/>
      <w:lang w:eastAsia="fr-FR"/>
    </w:rPr>
  </w:style>
  <w:style w:type="character" w:customStyle="1" w:styleId="qu">
    <w:name w:val="qu"/>
    <w:basedOn w:val="Policepardfaut"/>
    <w:rsid w:val="00D20A05"/>
  </w:style>
  <w:style w:type="character" w:customStyle="1" w:styleId="gd">
    <w:name w:val="gd"/>
    <w:basedOn w:val="Policepardfaut"/>
    <w:rsid w:val="00D20A05"/>
  </w:style>
  <w:style w:type="character" w:customStyle="1" w:styleId="go">
    <w:name w:val="go"/>
    <w:basedOn w:val="Policepardfaut"/>
    <w:rsid w:val="00D20A05"/>
  </w:style>
  <w:style w:type="character" w:customStyle="1" w:styleId="g3">
    <w:name w:val="g3"/>
    <w:basedOn w:val="Policepardfaut"/>
    <w:rsid w:val="00D20A05"/>
  </w:style>
  <w:style w:type="character" w:customStyle="1" w:styleId="hb">
    <w:name w:val="hb"/>
    <w:basedOn w:val="Policepardfaut"/>
    <w:rsid w:val="00D20A05"/>
  </w:style>
  <w:style w:type="character" w:customStyle="1" w:styleId="g2">
    <w:name w:val="g2"/>
    <w:basedOn w:val="Policepardfaut"/>
    <w:rsid w:val="00D20A05"/>
  </w:style>
  <w:style w:type="character" w:customStyle="1" w:styleId="il">
    <w:name w:val="il"/>
    <w:basedOn w:val="Policepardfaut"/>
    <w:rsid w:val="00D20A05"/>
  </w:style>
  <w:style w:type="character" w:styleId="Lienhypertexte">
    <w:name w:val="Hyperlink"/>
    <w:basedOn w:val="Policepardfaut"/>
    <w:uiPriority w:val="99"/>
    <w:semiHidden/>
    <w:unhideWhenUsed/>
    <w:rsid w:val="00D20A05"/>
    <w:rPr>
      <w:color w:val="0000FF"/>
      <w:u w:val="single"/>
    </w:rPr>
  </w:style>
  <w:style w:type="paragraph" w:styleId="Textedebulles">
    <w:name w:val="Balloon Text"/>
    <w:basedOn w:val="Normal"/>
    <w:link w:val="TextedebullesCar"/>
    <w:uiPriority w:val="99"/>
    <w:semiHidden/>
    <w:unhideWhenUsed/>
    <w:rsid w:val="00D20A05"/>
    <w:rPr>
      <w:rFonts w:ascii="Tahoma" w:hAnsi="Tahoma" w:cs="Tahoma"/>
      <w:sz w:val="16"/>
      <w:szCs w:val="16"/>
    </w:rPr>
  </w:style>
  <w:style w:type="character" w:customStyle="1" w:styleId="TextedebullesCar">
    <w:name w:val="Texte de bulles Car"/>
    <w:basedOn w:val="Policepardfaut"/>
    <w:link w:val="Textedebulles"/>
    <w:uiPriority w:val="99"/>
    <w:semiHidden/>
    <w:rsid w:val="00D20A05"/>
    <w:rPr>
      <w:rFonts w:ascii="Tahoma" w:hAnsi="Tahoma" w:cs="Tahoma"/>
      <w:sz w:val="16"/>
      <w:szCs w:val="16"/>
    </w:rPr>
  </w:style>
  <w:style w:type="paragraph" w:styleId="Sansinterligne">
    <w:name w:val="No Spacing"/>
    <w:uiPriority w:val="1"/>
    <w:qFormat/>
    <w:rsid w:val="006E62E7"/>
    <w:pPr>
      <w:spacing w:after="0" w:line="240" w:lineRule="auto"/>
    </w:pPr>
    <w:rPr>
      <w:lang w:val="en-US"/>
    </w:rPr>
  </w:style>
  <w:style w:type="paragraph" w:styleId="Paragraphedeliste">
    <w:name w:val="List Paragraph"/>
    <w:aliases w:val="Bullets,References,Liste 1,Numbered List Paragraph,ReferencesCxSpLast,List bullets,List Paragraph1,List Paragraph (numbered (a)),Medium Grid 1 - Accent 21,List Paragraph nowy,List_Paragraph,Multilevel para_II,Ha"/>
    <w:basedOn w:val="Normal"/>
    <w:link w:val="ParagraphedelisteCar"/>
    <w:qFormat/>
    <w:rsid w:val="002C55F6"/>
    <w:pPr>
      <w:spacing w:after="160" w:line="259" w:lineRule="auto"/>
      <w:ind w:left="720"/>
      <w:contextualSpacing/>
    </w:pPr>
    <w:rPr>
      <w:rFonts w:asciiTheme="minorHAnsi" w:eastAsiaTheme="minorHAnsi" w:hAnsiTheme="minorHAnsi" w:cstheme="minorBidi"/>
      <w:sz w:val="22"/>
      <w:szCs w:val="22"/>
      <w:lang w:val="en-US"/>
    </w:rPr>
  </w:style>
  <w:style w:type="table" w:styleId="Grilledutableau">
    <w:name w:val="Table Grid"/>
    <w:basedOn w:val="TableauNormal"/>
    <w:uiPriority w:val="59"/>
    <w:rsid w:val="002C55F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aliases w:val="Bullets Car,References Car,Liste 1 Car,Numbered List Paragraph Car,ReferencesCxSpLast Car,List bullets Car,List Paragraph1 Car,List Paragraph (numbered (a)) Car,Medium Grid 1 - Accent 21 Car,List Paragraph nowy Car,Ha Car"/>
    <w:basedOn w:val="Policepardfaut"/>
    <w:link w:val="Paragraphedeliste"/>
    <w:qFormat/>
    <w:locked/>
    <w:rsid w:val="002C55F6"/>
    <w:rPr>
      <w:lang w:val="en-US"/>
    </w:rPr>
  </w:style>
  <w:style w:type="paragraph" w:styleId="Textebrut">
    <w:name w:val="Plain Text"/>
    <w:basedOn w:val="Normal"/>
    <w:link w:val="TextebrutCar"/>
    <w:uiPriority w:val="99"/>
    <w:unhideWhenUsed/>
    <w:rsid w:val="002C55F6"/>
    <w:rPr>
      <w:rFonts w:ascii="Consolas" w:eastAsia="Calibri" w:hAnsi="Consolas"/>
      <w:sz w:val="21"/>
      <w:szCs w:val="21"/>
    </w:rPr>
  </w:style>
  <w:style w:type="character" w:customStyle="1" w:styleId="TextebrutCar">
    <w:name w:val="Texte brut Car"/>
    <w:basedOn w:val="Policepardfaut"/>
    <w:link w:val="Textebrut"/>
    <w:uiPriority w:val="99"/>
    <w:rsid w:val="002C55F6"/>
    <w:rPr>
      <w:rFonts w:ascii="Consolas" w:eastAsia="Calibri" w:hAnsi="Consolas" w:cs="Times New Roman"/>
      <w:sz w:val="21"/>
      <w:szCs w:val="21"/>
    </w:rPr>
  </w:style>
  <w:style w:type="paragraph" w:customStyle="1" w:styleId="Default">
    <w:name w:val="Default"/>
    <w:rsid w:val="002C55F6"/>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162F35"/>
    <w:pPr>
      <w:tabs>
        <w:tab w:val="center" w:pos="4536"/>
        <w:tab w:val="right" w:pos="9072"/>
      </w:tabs>
    </w:pPr>
  </w:style>
  <w:style w:type="character" w:customStyle="1" w:styleId="En-tteCar">
    <w:name w:val="En-tête Car"/>
    <w:basedOn w:val="Policepardfaut"/>
    <w:link w:val="En-tte"/>
    <w:uiPriority w:val="99"/>
    <w:rsid w:val="00162F35"/>
    <w:rPr>
      <w:rFonts w:ascii="Times New Roman" w:eastAsia="Times New Roman" w:hAnsi="Times New Roman" w:cs="Times New Roman"/>
      <w:sz w:val="24"/>
      <w:szCs w:val="20"/>
    </w:rPr>
  </w:style>
  <w:style w:type="paragraph" w:styleId="Pieddepage">
    <w:name w:val="footer"/>
    <w:basedOn w:val="Normal"/>
    <w:link w:val="PieddepageCar"/>
    <w:uiPriority w:val="99"/>
    <w:unhideWhenUsed/>
    <w:rsid w:val="00162F35"/>
    <w:pPr>
      <w:tabs>
        <w:tab w:val="center" w:pos="4536"/>
        <w:tab w:val="right" w:pos="9072"/>
      </w:tabs>
    </w:pPr>
  </w:style>
  <w:style w:type="character" w:customStyle="1" w:styleId="PieddepageCar">
    <w:name w:val="Pied de page Car"/>
    <w:basedOn w:val="Policepardfaut"/>
    <w:link w:val="Pieddepage"/>
    <w:uiPriority w:val="99"/>
    <w:rsid w:val="00162F35"/>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584999998">
      <w:bodyDiv w:val="1"/>
      <w:marLeft w:val="0"/>
      <w:marRight w:val="0"/>
      <w:marTop w:val="0"/>
      <w:marBottom w:val="0"/>
      <w:divBdr>
        <w:top w:val="none" w:sz="0" w:space="0" w:color="auto"/>
        <w:left w:val="none" w:sz="0" w:space="0" w:color="auto"/>
        <w:bottom w:val="none" w:sz="0" w:space="0" w:color="auto"/>
        <w:right w:val="none" w:sz="0" w:space="0" w:color="auto"/>
      </w:divBdr>
      <w:divsChild>
        <w:div w:id="377969772">
          <w:marLeft w:val="0"/>
          <w:marRight w:val="0"/>
          <w:marTop w:val="0"/>
          <w:marBottom w:val="0"/>
          <w:divBdr>
            <w:top w:val="none" w:sz="0" w:space="0" w:color="auto"/>
            <w:left w:val="none" w:sz="0" w:space="0" w:color="auto"/>
            <w:bottom w:val="none" w:sz="0" w:space="0" w:color="auto"/>
            <w:right w:val="none" w:sz="0" w:space="0" w:color="auto"/>
          </w:divBdr>
          <w:divsChild>
            <w:div w:id="227501477">
              <w:marLeft w:val="0"/>
              <w:marRight w:val="0"/>
              <w:marTop w:val="0"/>
              <w:marBottom w:val="0"/>
              <w:divBdr>
                <w:top w:val="none" w:sz="0" w:space="0" w:color="auto"/>
                <w:left w:val="none" w:sz="0" w:space="0" w:color="auto"/>
                <w:bottom w:val="none" w:sz="0" w:space="0" w:color="auto"/>
                <w:right w:val="none" w:sz="0" w:space="0" w:color="auto"/>
              </w:divBdr>
            </w:div>
            <w:div w:id="520702876">
              <w:marLeft w:val="300"/>
              <w:marRight w:val="0"/>
              <w:marTop w:val="0"/>
              <w:marBottom w:val="0"/>
              <w:divBdr>
                <w:top w:val="none" w:sz="0" w:space="0" w:color="auto"/>
                <w:left w:val="none" w:sz="0" w:space="0" w:color="auto"/>
                <w:bottom w:val="none" w:sz="0" w:space="0" w:color="auto"/>
                <w:right w:val="none" w:sz="0" w:space="0" w:color="auto"/>
              </w:divBdr>
            </w:div>
            <w:div w:id="804392912">
              <w:marLeft w:val="300"/>
              <w:marRight w:val="0"/>
              <w:marTop w:val="0"/>
              <w:marBottom w:val="0"/>
              <w:divBdr>
                <w:top w:val="none" w:sz="0" w:space="0" w:color="auto"/>
                <w:left w:val="none" w:sz="0" w:space="0" w:color="auto"/>
                <w:bottom w:val="none" w:sz="0" w:space="0" w:color="auto"/>
                <w:right w:val="none" w:sz="0" w:space="0" w:color="auto"/>
              </w:divBdr>
            </w:div>
            <w:div w:id="590816451">
              <w:marLeft w:val="0"/>
              <w:marRight w:val="0"/>
              <w:marTop w:val="0"/>
              <w:marBottom w:val="0"/>
              <w:divBdr>
                <w:top w:val="none" w:sz="0" w:space="0" w:color="auto"/>
                <w:left w:val="none" w:sz="0" w:space="0" w:color="auto"/>
                <w:bottom w:val="none" w:sz="0" w:space="0" w:color="auto"/>
                <w:right w:val="none" w:sz="0" w:space="0" w:color="auto"/>
              </w:divBdr>
            </w:div>
            <w:div w:id="1364818922">
              <w:marLeft w:val="60"/>
              <w:marRight w:val="0"/>
              <w:marTop w:val="0"/>
              <w:marBottom w:val="0"/>
              <w:divBdr>
                <w:top w:val="none" w:sz="0" w:space="0" w:color="auto"/>
                <w:left w:val="none" w:sz="0" w:space="0" w:color="auto"/>
                <w:bottom w:val="none" w:sz="0" w:space="0" w:color="auto"/>
                <w:right w:val="none" w:sz="0" w:space="0" w:color="auto"/>
              </w:divBdr>
            </w:div>
          </w:divsChild>
        </w:div>
        <w:div w:id="509175856">
          <w:marLeft w:val="0"/>
          <w:marRight w:val="0"/>
          <w:marTop w:val="0"/>
          <w:marBottom w:val="0"/>
          <w:divBdr>
            <w:top w:val="none" w:sz="0" w:space="0" w:color="auto"/>
            <w:left w:val="none" w:sz="0" w:space="0" w:color="auto"/>
            <w:bottom w:val="none" w:sz="0" w:space="0" w:color="auto"/>
            <w:right w:val="none" w:sz="0" w:space="0" w:color="auto"/>
          </w:divBdr>
          <w:divsChild>
            <w:div w:id="1079055822">
              <w:marLeft w:val="0"/>
              <w:marRight w:val="0"/>
              <w:marTop w:val="120"/>
              <w:marBottom w:val="0"/>
              <w:divBdr>
                <w:top w:val="none" w:sz="0" w:space="0" w:color="auto"/>
                <w:left w:val="none" w:sz="0" w:space="0" w:color="auto"/>
                <w:bottom w:val="none" w:sz="0" w:space="0" w:color="auto"/>
                <w:right w:val="none" w:sz="0" w:space="0" w:color="auto"/>
              </w:divBdr>
              <w:divsChild>
                <w:div w:id="238901810">
                  <w:marLeft w:val="0"/>
                  <w:marRight w:val="0"/>
                  <w:marTop w:val="0"/>
                  <w:marBottom w:val="0"/>
                  <w:divBdr>
                    <w:top w:val="none" w:sz="0" w:space="0" w:color="auto"/>
                    <w:left w:val="none" w:sz="0" w:space="0" w:color="auto"/>
                    <w:bottom w:val="none" w:sz="0" w:space="0" w:color="auto"/>
                    <w:right w:val="none" w:sz="0" w:space="0" w:color="auto"/>
                  </w:divBdr>
                  <w:divsChild>
                    <w:div w:id="2030134543">
                      <w:marLeft w:val="0"/>
                      <w:marRight w:val="0"/>
                      <w:marTop w:val="0"/>
                      <w:marBottom w:val="0"/>
                      <w:divBdr>
                        <w:top w:val="none" w:sz="0" w:space="0" w:color="auto"/>
                        <w:left w:val="none" w:sz="0" w:space="0" w:color="auto"/>
                        <w:bottom w:val="none" w:sz="0" w:space="0" w:color="auto"/>
                        <w:right w:val="none" w:sz="0" w:space="0" w:color="auto"/>
                      </w:divBdr>
                      <w:divsChild>
                        <w:div w:id="976421885">
                          <w:marLeft w:val="0"/>
                          <w:marRight w:val="0"/>
                          <w:marTop w:val="0"/>
                          <w:marBottom w:val="0"/>
                          <w:divBdr>
                            <w:top w:val="none" w:sz="0" w:space="0" w:color="auto"/>
                            <w:left w:val="none" w:sz="0" w:space="0" w:color="auto"/>
                            <w:bottom w:val="none" w:sz="0" w:space="0" w:color="auto"/>
                            <w:right w:val="none" w:sz="0" w:space="0" w:color="auto"/>
                          </w:divBdr>
                          <w:divsChild>
                            <w:div w:id="1287393199">
                              <w:marLeft w:val="0"/>
                              <w:marRight w:val="0"/>
                              <w:marTop w:val="0"/>
                              <w:marBottom w:val="0"/>
                              <w:divBdr>
                                <w:top w:val="none" w:sz="0" w:space="0" w:color="auto"/>
                                <w:left w:val="none" w:sz="0" w:space="0" w:color="auto"/>
                                <w:bottom w:val="none" w:sz="0" w:space="0" w:color="auto"/>
                                <w:right w:val="none" w:sz="0" w:space="0" w:color="auto"/>
                              </w:divBdr>
                            </w:div>
                            <w:div w:id="411898188">
                              <w:marLeft w:val="0"/>
                              <w:marRight w:val="0"/>
                              <w:marTop w:val="0"/>
                              <w:marBottom w:val="0"/>
                              <w:divBdr>
                                <w:top w:val="none" w:sz="0" w:space="0" w:color="auto"/>
                                <w:left w:val="none" w:sz="0" w:space="0" w:color="auto"/>
                                <w:bottom w:val="none" w:sz="0" w:space="0" w:color="auto"/>
                                <w:right w:val="none" w:sz="0" w:space="0" w:color="auto"/>
                              </w:divBdr>
                              <w:divsChild>
                                <w:div w:id="1087771396">
                                  <w:marLeft w:val="0"/>
                                  <w:marRight w:val="0"/>
                                  <w:marTop w:val="0"/>
                                  <w:marBottom w:val="0"/>
                                  <w:divBdr>
                                    <w:top w:val="single" w:sz="8" w:space="3" w:color="E1E1E1"/>
                                    <w:left w:val="none" w:sz="0" w:space="0" w:color="auto"/>
                                    <w:bottom w:val="none" w:sz="0" w:space="0" w:color="auto"/>
                                    <w:right w:val="none" w:sz="0" w:space="0" w:color="auto"/>
                                  </w:divBdr>
                                </w:div>
                              </w:divsChild>
                            </w:div>
                            <w:div w:id="1114638740">
                              <w:marLeft w:val="0"/>
                              <w:marRight w:val="0"/>
                              <w:marTop w:val="0"/>
                              <w:marBottom w:val="0"/>
                              <w:divBdr>
                                <w:top w:val="none" w:sz="0" w:space="0" w:color="auto"/>
                                <w:left w:val="none" w:sz="0" w:space="0" w:color="auto"/>
                                <w:bottom w:val="none" w:sz="0" w:space="0" w:color="auto"/>
                                <w:right w:val="none" w:sz="0" w:space="0" w:color="auto"/>
                              </w:divBdr>
                              <w:divsChild>
                                <w:div w:id="191651358">
                                  <w:marLeft w:val="0"/>
                                  <w:marRight w:val="0"/>
                                  <w:marTop w:val="0"/>
                                  <w:marBottom w:val="0"/>
                                  <w:divBdr>
                                    <w:top w:val="none" w:sz="0" w:space="0" w:color="auto"/>
                                    <w:left w:val="none" w:sz="0" w:space="0" w:color="auto"/>
                                    <w:bottom w:val="none" w:sz="0" w:space="0" w:color="auto"/>
                                    <w:right w:val="none" w:sz="0" w:space="0" w:color="auto"/>
                                  </w:divBdr>
                                </w:div>
                              </w:divsChild>
                            </w:div>
                            <w:div w:id="1086656104">
                              <w:marLeft w:val="0"/>
                              <w:marRight w:val="0"/>
                              <w:marTop w:val="0"/>
                              <w:marBottom w:val="0"/>
                              <w:divBdr>
                                <w:top w:val="none" w:sz="0" w:space="0" w:color="auto"/>
                                <w:left w:val="none" w:sz="0" w:space="0" w:color="auto"/>
                                <w:bottom w:val="none" w:sz="0" w:space="0" w:color="auto"/>
                                <w:right w:val="none" w:sz="0" w:space="0" w:color="auto"/>
                              </w:divBdr>
                              <w:divsChild>
                                <w:div w:id="268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584076">
      <w:bodyDiv w:val="1"/>
      <w:marLeft w:val="0"/>
      <w:marRight w:val="0"/>
      <w:marTop w:val="0"/>
      <w:marBottom w:val="0"/>
      <w:divBdr>
        <w:top w:val="none" w:sz="0" w:space="0" w:color="auto"/>
        <w:left w:val="none" w:sz="0" w:space="0" w:color="auto"/>
        <w:bottom w:val="none" w:sz="0" w:space="0" w:color="auto"/>
        <w:right w:val="none" w:sz="0" w:space="0" w:color="auto"/>
      </w:divBdr>
      <w:divsChild>
        <w:div w:id="763304128">
          <w:marLeft w:val="0"/>
          <w:marRight w:val="0"/>
          <w:marTop w:val="0"/>
          <w:marBottom w:val="0"/>
          <w:divBdr>
            <w:top w:val="none" w:sz="0" w:space="0" w:color="auto"/>
            <w:left w:val="none" w:sz="0" w:space="0" w:color="auto"/>
            <w:bottom w:val="none" w:sz="0" w:space="0" w:color="auto"/>
            <w:right w:val="none" w:sz="0" w:space="0" w:color="auto"/>
          </w:divBdr>
          <w:divsChild>
            <w:div w:id="1346783023">
              <w:marLeft w:val="0"/>
              <w:marRight w:val="0"/>
              <w:marTop w:val="0"/>
              <w:marBottom w:val="0"/>
              <w:divBdr>
                <w:top w:val="none" w:sz="0" w:space="0" w:color="auto"/>
                <w:left w:val="none" w:sz="0" w:space="0" w:color="auto"/>
                <w:bottom w:val="none" w:sz="0" w:space="0" w:color="auto"/>
                <w:right w:val="none" w:sz="0" w:space="0" w:color="auto"/>
              </w:divBdr>
            </w:div>
            <w:div w:id="1764646693">
              <w:marLeft w:val="300"/>
              <w:marRight w:val="0"/>
              <w:marTop w:val="0"/>
              <w:marBottom w:val="0"/>
              <w:divBdr>
                <w:top w:val="none" w:sz="0" w:space="0" w:color="auto"/>
                <w:left w:val="none" w:sz="0" w:space="0" w:color="auto"/>
                <w:bottom w:val="none" w:sz="0" w:space="0" w:color="auto"/>
                <w:right w:val="none" w:sz="0" w:space="0" w:color="auto"/>
              </w:divBdr>
            </w:div>
            <w:div w:id="1121193650">
              <w:marLeft w:val="300"/>
              <w:marRight w:val="0"/>
              <w:marTop w:val="0"/>
              <w:marBottom w:val="0"/>
              <w:divBdr>
                <w:top w:val="none" w:sz="0" w:space="0" w:color="auto"/>
                <w:left w:val="none" w:sz="0" w:space="0" w:color="auto"/>
                <w:bottom w:val="none" w:sz="0" w:space="0" w:color="auto"/>
                <w:right w:val="none" w:sz="0" w:space="0" w:color="auto"/>
              </w:divBdr>
            </w:div>
            <w:div w:id="1050615081">
              <w:marLeft w:val="0"/>
              <w:marRight w:val="0"/>
              <w:marTop w:val="0"/>
              <w:marBottom w:val="0"/>
              <w:divBdr>
                <w:top w:val="none" w:sz="0" w:space="0" w:color="auto"/>
                <w:left w:val="none" w:sz="0" w:space="0" w:color="auto"/>
                <w:bottom w:val="none" w:sz="0" w:space="0" w:color="auto"/>
                <w:right w:val="none" w:sz="0" w:space="0" w:color="auto"/>
              </w:divBdr>
            </w:div>
            <w:div w:id="1365524460">
              <w:marLeft w:val="60"/>
              <w:marRight w:val="0"/>
              <w:marTop w:val="0"/>
              <w:marBottom w:val="0"/>
              <w:divBdr>
                <w:top w:val="none" w:sz="0" w:space="0" w:color="auto"/>
                <w:left w:val="none" w:sz="0" w:space="0" w:color="auto"/>
                <w:bottom w:val="none" w:sz="0" w:space="0" w:color="auto"/>
                <w:right w:val="none" w:sz="0" w:space="0" w:color="auto"/>
              </w:divBdr>
            </w:div>
          </w:divsChild>
        </w:div>
        <w:div w:id="467285524">
          <w:marLeft w:val="0"/>
          <w:marRight w:val="0"/>
          <w:marTop w:val="0"/>
          <w:marBottom w:val="0"/>
          <w:divBdr>
            <w:top w:val="none" w:sz="0" w:space="0" w:color="auto"/>
            <w:left w:val="none" w:sz="0" w:space="0" w:color="auto"/>
            <w:bottom w:val="none" w:sz="0" w:space="0" w:color="auto"/>
            <w:right w:val="none" w:sz="0" w:space="0" w:color="auto"/>
          </w:divBdr>
          <w:divsChild>
            <w:div w:id="129790448">
              <w:marLeft w:val="0"/>
              <w:marRight w:val="0"/>
              <w:marTop w:val="120"/>
              <w:marBottom w:val="0"/>
              <w:divBdr>
                <w:top w:val="none" w:sz="0" w:space="0" w:color="auto"/>
                <w:left w:val="none" w:sz="0" w:space="0" w:color="auto"/>
                <w:bottom w:val="none" w:sz="0" w:space="0" w:color="auto"/>
                <w:right w:val="none" w:sz="0" w:space="0" w:color="auto"/>
              </w:divBdr>
              <w:divsChild>
                <w:div w:id="2091123475">
                  <w:marLeft w:val="0"/>
                  <w:marRight w:val="0"/>
                  <w:marTop w:val="0"/>
                  <w:marBottom w:val="0"/>
                  <w:divBdr>
                    <w:top w:val="none" w:sz="0" w:space="0" w:color="auto"/>
                    <w:left w:val="none" w:sz="0" w:space="0" w:color="auto"/>
                    <w:bottom w:val="none" w:sz="0" w:space="0" w:color="auto"/>
                    <w:right w:val="none" w:sz="0" w:space="0" w:color="auto"/>
                  </w:divBdr>
                  <w:divsChild>
                    <w:div w:id="1820682330">
                      <w:marLeft w:val="0"/>
                      <w:marRight w:val="0"/>
                      <w:marTop w:val="0"/>
                      <w:marBottom w:val="0"/>
                      <w:divBdr>
                        <w:top w:val="none" w:sz="0" w:space="0" w:color="auto"/>
                        <w:left w:val="none" w:sz="0" w:space="0" w:color="auto"/>
                        <w:bottom w:val="none" w:sz="0" w:space="0" w:color="auto"/>
                        <w:right w:val="none" w:sz="0" w:space="0" w:color="auto"/>
                      </w:divBdr>
                      <w:divsChild>
                        <w:div w:id="4772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91E8C-44DD-4C2E-A78E-636E94710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Pages>
  <Words>2824</Words>
  <Characters>15537</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GUET ROUDAH</dc:creator>
  <cp:lastModifiedBy>HP</cp:lastModifiedBy>
  <cp:revision>6</cp:revision>
  <cp:lastPrinted>2020-05-22T10:45:00Z</cp:lastPrinted>
  <dcterms:created xsi:type="dcterms:W3CDTF">2020-03-08T16:11:00Z</dcterms:created>
  <dcterms:modified xsi:type="dcterms:W3CDTF">2020-05-22T10:50:00Z</dcterms:modified>
</cp:coreProperties>
</file>